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E0F57" w14:textId="77777777" w:rsidR="00AC002F" w:rsidRDefault="00AC002F">
      <w:pPr>
        <w:spacing w:after="160"/>
        <w:jc w:val="center"/>
        <w:rPr>
          <w:rFonts w:cs="Arial"/>
        </w:rPr>
      </w:pPr>
    </w:p>
    <w:p w14:paraId="347F6E59" w14:textId="77777777" w:rsidR="00AC002F" w:rsidRDefault="008E60F0">
      <w:pPr>
        <w:spacing w:before="240" w:after="240" w:line="240" w:lineRule="auto"/>
        <w:rPr>
          <w:color w:val="5B9BD5"/>
        </w:rPr>
      </w:pPr>
      <w:r>
        <w:rPr>
          <w:noProof/>
        </w:rPr>
        <w:drawing>
          <wp:inline distT="0" distB="0" distL="0" distR="0" wp14:anchorId="1BB8967B" wp14:editId="13719CDE">
            <wp:extent cx="2377440" cy="953770"/>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pic:cNvPicPr>
                      <a:picLocks noChangeAspect="1" noChangeArrowheads="1"/>
                    </pic:cNvPicPr>
                  </pic:nvPicPr>
                  <pic:blipFill>
                    <a:blip r:embed="rId11"/>
                    <a:stretch>
                      <a:fillRect/>
                    </a:stretch>
                  </pic:blipFill>
                  <pic:spPr bwMode="auto">
                    <a:xfrm>
                      <a:off x="0" y="0"/>
                      <a:ext cx="2377440" cy="953770"/>
                    </a:xfrm>
                    <a:prstGeom prst="rect">
                      <a:avLst/>
                    </a:prstGeom>
                    <a:noFill/>
                  </pic:spPr>
                </pic:pic>
              </a:graphicData>
            </a:graphic>
          </wp:inline>
        </w:drawing>
      </w:r>
    </w:p>
    <w:p w14:paraId="17B91BFC" w14:textId="77777777" w:rsidR="00AC002F" w:rsidRDefault="008E60F0">
      <w:pPr>
        <w:spacing w:before="240" w:after="240" w:line="240" w:lineRule="auto"/>
        <w:rPr>
          <w:smallCaps/>
          <w:color w:val="5B9BD5"/>
          <w:sz w:val="44"/>
          <w:szCs w:val="44"/>
        </w:rPr>
      </w:pPr>
      <w:r>
        <w:rPr>
          <w:rFonts w:ascii="Calibri" w:eastAsia="Calibri" w:hAnsi="Calibri" w:cs="Calibri"/>
          <w:smallCaps/>
          <w:color w:val="5B9BD5"/>
          <w:sz w:val="44"/>
          <w:szCs w:val="44"/>
        </w:rPr>
        <w:t>REGLEMENT DE LA CONSULTATION</w:t>
      </w:r>
    </w:p>
    <w:p w14:paraId="3373493F" w14:textId="77777777" w:rsidR="00AC002F" w:rsidRDefault="008E60F0">
      <w:pPr>
        <w:spacing w:before="240" w:after="240" w:line="240" w:lineRule="auto"/>
        <w:rPr>
          <w:smallCaps/>
          <w:color w:val="5B9BD5"/>
          <w:sz w:val="52"/>
          <w:szCs w:val="52"/>
        </w:rPr>
      </w:pPr>
      <w:r>
        <w:rPr>
          <w:rFonts w:ascii="Calibri" w:eastAsia="Calibri" w:hAnsi="Calibri" w:cs="Calibri"/>
          <w:smallCaps/>
          <w:color w:val="5B9BD5"/>
          <w:sz w:val="52"/>
          <w:szCs w:val="52"/>
        </w:rPr>
        <w:t>(R.C)</w:t>
      </w:r>
    </w:p>
    <w:p w14:paraId="68CDC04A" w14:textId="77777777" w:rsidR="00AC002F" w:rsidRDefault="008E60F0">
      <w:pPr>
        <w:pBdr>
          <w:bottom w:val="single" w:sz="6" w:space="6" w:color="5B9BD5"/>
        </w:pBdr>
        <w:spacing w:before="240" w:after="240" w:line="240" w:lineRule="auto"/>
        <w:rPr>
          <w:smallCaps/>
          <w:color w:val="5B9BD5"/>
          <w:sz w:val="52"/>
          <w:szCs w:val="52"/>
        </w:rPr>
      </w:pPr>
      <w:r>
        <w:rPr>
          <w:rFonts w:ascii="Calibri" w:eastAsia="Calibri" w:hAnsi="Calibri" w:cs="Calibri"/>
          <w:smallCaps/>
          <w:color w:val="5B9BD5"/>
          <w:sz w:val="52"/>
          <w:szCs w:val="52"/>
        </w:rPr>
        <w:t>PHASE CANDIDATURE</w:t>
      </w:r>
    </w:p>
    <w:p w14:paraId="3856BEE2" w14:textId="77777777" w:rsidR="00AC002F" w:rsidRDefault="008E60F0">
      <w:pPr>
        <w:spacing w:before="240" w:after="240"/>
        <w:rPr>
          <w:rFonts w:ascii="Calibri" w:eastAsia="Calibri" w:hAnsi="Calibri" w:cs="Calibri"/>
          <w:color w:val="1E6497" w:themeColor="background2" w:themeTint="BF"/>
          <w:sz w:val="28"/>
          <w:szCs w:val="28"/>
        </w:rPr>
      </w:pPr>
      <w:r>
        <w:rPr>
          <w:rFonts w:ascii="Calibri" w:eastAsia="Calibri" w:hAnsi="Calibri" w:cs="Calibri"/>
          <w:color w:val="1E6497" w:themeColor="background2" w:themeTint="BF"/>
          <w:sz w:val="28"/>
          <w:szCs w:val="28"/>
        </w:rPr>
        <w:t>Marché de conception, réalisation, maintenance et évolution du site internet de la CNCCFP.</w:t>
      </w:r>
    </w:p>
    <w:p w14:paraId="72E5C26F" w14:textId="30DEC342" w:rsidR="00AC002F" w:rsidRDefault="008E60F0">
      <w:pPr>
        <w:spacing w:before="240" w:after="240"/>
        <w:rPr>
          <w:rFonts w:ascii="Calibri" w:eastAsia="Calibri" w:hAnsi="Calibri" w:cs="Calibri"/>
          <w:color w:val="1E6497" w:themeColor="background2" w:themeTint="BF"/>
          <w:sz w:val="28"/>
          <w:szCs w:val="28"/>
        </w:rPr>
      </w:pPr>
      <w:r>
        <w:rPr>
          <w:rFonts w:ascii="Calibri" w:eastAsia="Calibri" w:hAnsi="Calibri" w:cs="Calibri"/>
          <w:color w:val="1E6497" w:themeColor="background2" w:themeTint="BF"/>
          <w:sz w:val="28"/>
          <w:szCs w:val="28"/>
        </w:rPr>
        <w:t>Date et heure limites de réception des candidatures : vendredi 25 septembre 2026 à 12h00</w:t>
      </w:r>
    </w:p>
    <w:p w14:paraId="73611076" w14:textId="77777777" w:rsidR="00AC002F" w:rsidRDefault="008E60F0">
      <w:pPr>
        <w:spacing w:before="240" w:after="240"/>
        <w:rPr>
          <w:rFonts w:ascii="Calibri" w:eastAsia="Calibri" w:hAnsi="Calibri" w:cs="Calibri"/>
          <w:color w:val="1E6497" w:themeColor="background2" w:themeTint="BF"/>
          <w:sz w:val="28"/>
          <w:szCs w:val="28"/>
        </w:rPr>
      </w:pPr>
      <w:r>
        <w:rPr>
          <w:rFonts w:ascii="Calibri" w:eastAsia="Calibri" w:hAnsi="Calibri" w:cs="Calibri"/>
          <w:color w:val="1E6497" w:themeColor="background2" w:themeTint="BF"/>
          <w:sz w:val="28"/>
          <w:szCs w:val="28"/>
        </w:rPr>
        <w:t>Procédure avec négociation (articles L. 2124-3 et R. 2124-3 du code de la commande publique)</w:t>
      </w:r>
    </w:p>
    <w:p w14:paraId="3099C54A" w14:textId="5BB45D44" w:rsidR="00AC002F" w:rsidRDefault="008E60F0">
      <w:pPr>
        <w:spacing w:before="240" w:after="240"/>
      </w:pPr>
      <w:r>
        <w:rPr>
          <w:rFonts w:ascii="Calibri" w:eastAsia="Calibri" w:hAnsi="Calibri" w:cs="Calibri"/>
          <w:color w:val="1E6497" w:themeColor="background2" w:themeTint="BF"/>
          <w:sz w:val="28"/>
          <w:szCs w:val="28"/>
        </w:rPr>
        <w:t>RC/</w:t>
      </w:r>
      <w:r w:rsidR="00AE5915" w:rsidRPr="00AE5915">
        <w:rPr>
          <w:rFonts w:ascii="Calibri" w:eastAsia="Calibri" w:hAnsi="Calibri" w:cs="Calibri"/>
          <w:color w:val="1E6497" w:themeColor="background2" w:themeTint="BF"/>
          <w:sz w:val="28"/>
          <w:szCs w:val="28"/>
        </w:rPr>
        <w:t>CNCCFP-Site-internet</w:t>
      </w:r>
    </w:p>
    <w:sdt>
      <w:sdtPr>
        <w:rPr>
          <w:rFonts w:asciiTheme="minorHAnsi" w:eastAsiaTheme="minorHAnsi" w:hAnsiTheme="minorHAnsi" w:cstheme="minorBidi"/>
          <w:b w:val="0"/>
          <w:bCs w:val="0"/>
          <w:caps w:val="0"/>
          <w:smallCaps/>
          <w:color w:val="auto"/>
          <w:sz w:val="20"/>
          <w:szCs w:val="20"/>
        </w:rPr>
        <w:id w:val="1502082233"/>
        <w:docPartObj>
          <w:docPartGallery w:val="Table of Contents"/>
          <w:docPartUnique/>
        </w:docPartObj>
      </w:sdtPr>
      <w:sdtEndPr/>
      <w:sdtContent>
        <w:p w14:paraId="16328552" w14:textId="77777777" w:rsidR="00AC002F" w:rsidRDefault="008E60F0">
          <w:pPr>
            <w:pStyle w:val="En-ttedetabledesmatires"/>
          </w:pPr>
          <w:r>
            <w:br w:type="page"/>
          </w:r>
          <w:r>
            <w:lastRenderedPageBreak/>
            <w:t>Table des matières</w:t>
          </w:r>
        </w:p>
        <w:p w14:paraId="2B3161AC" w14:textId="77777777" w:rsidR="00AC002F" w:rsidRDefault="008E60F0">
          <w:pPr>
            <w:pStyle w:val="TM1"/>
            <w:tabs>
              <w:tab w:val="right" w:leader="dot" w:pos="9069"/>
            </w:tabs>
          </w:pPr>
          <w:r>
            <w:fldChar w:fldCharType="begin"/>
          </w:r>
          <w:r>
            <w:rPr>
              <w:rStyle w:val="IndexLink"/>
              <w:webHidden/>
            </w:rPr>
            <w:instrText xml:space="preserve"> TOC \z \o "1-2" \u \h</w:instrText>
          </w:r>
          <w:r>
            <w:rPr>
              <w:rStyle w:val="IndexLink"/>
            </w:rPr>
            <w:fldChar w:fldCharType="separate"/>
          </w:r>
          <w:hyperlink w:anchor="__RefHeading___Toc869_4189789723" w:tooltip="Préambule">
            <w:r>
              <w:rPr>
                <w:rStyle w:val="IndexLink"/>
                <w:webHidden/>
              </w:rPr>
              <w:t>Préambule</w:t>
            </w:r>
            <w:r>
              <w:rPr>
                <w:rStyle w:val="IndexLink"/>
                <w:webHidden/>
              </w:rPr>
              <w:tab/>
              <w:t>3</w:t>
            </w:r>
          </w:hyperlink>
        </w:p>
        <w:p w14:paraId="207CD6E2" w14:textId="77777777" w:rsidR="00AC002F" w:rsidRDefault="00CE4C0E">
          <w:pPr>
            <w:pStyle w:val="TM2"/>
            <w:tabs>
              <w:tab w:val="right" w:leader="dot" w:pos="9069"/>
            </w:tabs>
          </w:pPr>
          <w:hyperlink w:anchor="__RefHeading___Toc871_4189789723" w:tooltip="Type d’acheteur">
            <w:r w:rsidR="008E60F0">
              <w:rPr>
                <w:rStyle w:val="IndexLink"/>
                <w:webHidden/>
              </w:rPr>
              <w:t>Type d’acheteur</w:t>
            </w:r>
            <w:r w:rsidR="008E60F0">
              <w:rPr>
                <w:rStyle w:val="IndexLink"/>
                <w:webHidden/>
              </w:rPr>
              <w:tab/>
              <w:t>3</w:t>
            </w:r>
          </w:hyperlink>
        </w:p>
        <w:p w14:paraId="704C55F2" w14:textId="77777777" w:rsidR="00AC002F" w:rsidRDefault="00CE4C0E">
          <w:pPr>
            <w:pStyle w:val="TM2"/>
            <w:tabs>
              <w:tab w:val="right" w:leader="dot" w:pos="9069"/>
            </w:tabs>
          </w:pPr>
          <w:hyperlink w:anchor="__RefHeading___Toc873_4189789723" w:tooltip="Présentation de l’acheteur">
            <w:r w:rsidR="008E60F0">
              <w:rPr>
                <w:rStyle w:val="IndexLink"/>
                <w:webHidden/>
              </w:rPr>
              <w:t>Présentation de l’acheteur</w:t>
            </w:r>
            <w:r w:rsidR="008E60F0">
              <w:rPr>
                <w:rStyle w:val="IndexLink"/>
                <w:webHidden/>
              </w:rPr>
              <w:tab/>
              <w:t>3</w:t>
            </w:r>
          </w:hyperlink>
        </w:p>
        <w:p w14:paraId="3B8A0772" w14:textId="77777777" w:rsidR="00AC002F" w:rsidRDefault="00CE4C0E">
          <w:pPr>
            <w:pStyle w:val="TM1"/>
            <w:tabs>
              <w:tab w:val="right" w:leader="dot" w:pos="9069"/>
            </w:tabs>
          </w:pPr>
          <w:hyperlink w:anchor="__RefHeading___Toc875_4189789723" w:tooltip="Présentation de la consultation">
            <w:r w:rsidR="008E60F0">
              <w:rPr>
                <w:rStyle w:val="IndexLink"/>
                <w:webHidden/>
              </w:rPr>
              <w:t>1. Présentation de la consultation</w:t>
            </w:r>
            <w:r w:rsidR="008E60F0">
              <w:rPr>
                <w:rStyle w:val="IndexLink"/>
                <w:webHidden/>
              </w:rPr>
              <w:tab/>
              <w:t>3</w:t>
            </w:r>
          </w:hyperlink>
        </w:p>
        <w:p w14:paraId="394C74DC" w14:textId="77777777" w:rsidR="00AC002F" w:rsidRDefault="00CE4C0E">
          <w:pPr>
            <w:pStyle w:val="TM2"/>
            <w:tabs>
              <w:tab w:val="right" w:leader="dot" w:pos="9069"/>
            </w:tabs>
          </w:pPr>
          <w:hyperlink w:anchor="__RefHeading___Toc877_4189789723" w:tooltip="Objet">
            <w:r w:rsidR="008E60F0">
              <w:rPr>
                <w:rStyle w:val="IndexLink"/>
                <w:webHidden/>
              </w:rPr>
              <w:t>1.1. Objet</w:t>
            </w:r>
            <w:r w:rsidR="008E60F0">
              <w:rPr>
                <w:rStyle w:val="IndexLink"/>
                <w:webHidden/>
              </w:rPr>
              <w:tab/>
              <w:t>3</w:t>
            </w:r>
          </w:hyperlink>
        </w:p>
        <w:p w14:paraId="452BEA99" w14:textId="77777777" w:rsidR="00AC002F" w:rsidRDefault="00CE4C0E">
          <w:pPr>
            <w:pStyle w:val="TM2"/>
            <w:tabs>
              <w:tab w:val="right" w:leader="dot" w:pos="9069"/>
            </w:tabs>
          </w:pPr>
          <w:hyperlink w:anchor="__RefHeading___Toc879_4189789723" w:tooltip="Lieux d’exécution">
            <w:r w:rsidR="008E60F0">
              <w:rPr>
                <w:rStyle w:val="IndexLink"/>
                <w:webHidden/>
              </w:rPr>
              <w:t>1.2. Lieux d’exécution</w:t>
            </w:r>
            <w:r w:rsidR="008E60F0">
              <w:rPr>
                <w:rStyle w:val="IndexLink"/>
                <w:webHidden/>
              </w:rPr>
              <w:tab/>
              <w:t>4</w:t>
            </w:r>
          </w:hyperlink>
        </w:p>
        <w:p w14:paraId="40D3BEC8" w14:textId="77777777" w:rsidR="00AC002F" w:rsidRDefault="00CE4C0E">
          <w:pPr>
            <w:pStyle w:val="TM2"/>
            <w:tabs>
              <w:tab w:val="right" w:leader="dot" w:pos="9069"/>
            </w:tabs>
          </w:pPr>
          <w:hyperlink w:anchor="__RefHeading___Toc881_4189789723" w:tooltip="Type et forme du Marché">
            <w:r w:rsidR="008E60F0">
              <w:rPr>
                <w:rStyle w:val="IndexLink"/>
                <w:webHidden/>
              </w:rPr>
              <w:t>1.3. Type et forme du Marché</w:t>
            </w:r>
            <w:r w:rsidR="008E60F0">
              <w:rPr>
                <w:rStyle w:val="IndexLink"/>
                <w:webHidden/>
              </w:rPr>
              <w:tab/>
              <w:t>5</w:t>
            </w:r>
          </w:hyperlink>
        </w:p>
        <w:p w14:paraId="164AD846" w14:textId="77777777" w:rsidR="00AC002F" w:rsidRDefault="00CE4C0E">
          <w:pPr>
            <w:pStyle w:val="TM2"/>
            <w:tabs>
              <w:tab w:val="right" w:leader="dot" w:pos="9069"/>
            </w:tabs>
          </w:pPr>
          <w:hyperlink w:anchor="__RefHeading___Toc883_4189789723" w:tooltip="Décomposition du Marché">
            <w:r w:rsidR="008E60F0">
              <w:rPr>
                <w:rStyle w:val="IndexLink"/>
                <w:webHidden/>
              </w:rPr>
              <w:t>1.4. Décomposition du Marché</w:t>
            </w:r>
            <w:r w:rsidR="008E60F0">
              <w:rPr>
                <w:rStyle w:val="IndexLink"/>
                <w:webHidden/>
              </w:rPr>
              <w:tab/>
              <w:t>5</w:t>
            </w:r>
          </w:hyperlink>
        </w:p>
        <w:p w14:paraId="5057B232" w14:textId="77777777" w:rsidR="00AC002F" w:rsidRDefault="00CE4C0E">
          <w:pPr>
            <w:pStyle w:val="TM2"/>
            <w:tabs>
              <w:tab w:val="right" w:leader="dot" w:pos="9069"/>
            </w:tabs>
          </w:pPr>
          <w:hyperlink w:anchor="__RefHeading___Toc885_4189789723" w:tooltip="Durée du Marché">
            <w:r w:rsidR="008E60F0">
              <w:rPr>
                <w:rStyle w:val="IndexLink"/>
                <w:webHidden/>
              </w:rPr>
              <w:t>1.5. Durée du Marché</w:t>
            </w:r>
            <w:r w:rsidR="008E60F0">
              <w:rPr>
                <w:rStyle w:val="IndexLink"/>
                <w:webHidden/>
              </w:rPr>
              <w:tab/>
              <w:t>5</w:t>
            </w:r>
          </w:hyperlink>
        </w:p>
        <w:p w14:paraId="4F5C0DEB" w14:textId="77777777" w:rsidR="00AC002F" w:rsidRDefault="00CE4C0E">
          <w:pPr>
            <w:pStyle w:val="TM2"/>
            <w:tabs>
              <w:tab w:val="right" w:leader="dot" w:pos="9069"/>
            </w:tabs>
          </w:pPr>
          <w:hyperlink w:anchor="__RefHeading___Toc887_4189789723" w:tooltip="Montant du Marché">
            <w:r w:rsidR="008E60F0">
              <w:rPr>
                <w:rStyle w:val="IndexLink"/>
                <w:webHidden/>
              </w:rPr>
              <w:t>1.6. Montant du Marché</w:t>
            </w:r>
            <w:r w:rsidR="008E60F0">
              <w:rPr>
                <w:rStyle w:val="IndexLink"/>
                <w:webHidden/>
              </w:rPr>
              <w:tab/>
              <w:t>6</w:t>
            </w:r>
          </w:hyperlink>
        </w:p>
        <w:p w14:paraId="198EBD7A" w14:textId="77777777" w:rsidR="00AC002F" w:rsidRDefault="00CE4C0E">
          <w:pPr>
            <w:pStyle w:val="TM1"/>
            <w:tabs>
              <w:tab w:val="right" w:leader="dot" w:pos="9069"/>
            </w:tabs>
          </w:pPr>
          <w:hyperlink w:anchor="__RefHeading___Toc889_4189789723" w:tooltip="Caractéristiques de la consultation">
            <w:r w:rsidR="008E60F0">
              <w:rPr>
                <w:rStyle w:val="IndexLink"/>
                <w:webHidden/>
              </w:rPr>
              <w:t>2. Caractéristiques de la consultation</w:t>
            </w:r>
            <w:r w:rsidR="008E60F0">
              <w:rPr>
                <w:rStyle w:val="IndexLink"/>
                <w:webHidden/>
              </w:rPr>
              <w:tab/>
              <w:t>6</w:t>
            </w:r>
          </w:hyperlink>
        </w:p>
        <w:p w14:paraId="1407A147" w14:textId="77777777" w:rsidR="00AC002F" w:rsidRDefault="00CE4C0E">
          <w:pPr>
            <w:pStyle w:val="TM2"/>
            <w:tabs>
              <w:tab w:val="right" w:leader="dot" w:pos="9069"/>
            </w:tabs>
          </w:pPr>
          <w:hyperlink w:anchor="__RefHeading___Toc891_4189789723" w:tooltip="Nomenclature communautaire">
            <w:r w:rsidR="008E60F0">
              <w:rPr>
                <w:rStyle w:val="IndexLink"/>
                <w:webHidden/>
              </w:rPr>
              <w:t>2.1. Nomenclature communautaire</w:t>
            </w:r>
            <w:r w:rsidR="008E60F0">
              <w:rPr>
                <w:rStyle w:val="IndexLink"/>
                <w:webHidden/>
              </w:rPr>
              <w:tab/>
              <w:t>6</w:t>
            </w:r>
          </w:hyperlink>
        </w:p>
        <w:p w14:paraId="03C2DDDD" w14:textId="77777777" w:rsidR="00AC002F" w:rsidRDefault="00CE4C0E">
          <w:pPr>
            <w:pStyle w:val="TM2"/>
            <w:tabs>
              <w:tab w:val="right" w:leader="dot" w:pos="9069"/>
            </w:tabs>
          </w:pPr>
          <w:hyperlink w:anchor="__RefHeading___Toc893_4189789723" w:tooltip="Procédure de la consultation">
            <w:r w:rsidR="008E60F0">
              <w:rPr>
                <w:rStyle w:val="IndexLink"/>
                <w:webHidden/>
              </w:rPr>
              <w:t>2.2. Procédure de la consultation</w:t>
            </w:r>
            <w:r w:rsidR="008E60F0">
              <w:rPr>
                <w:rStyle w:val="IndexLink"/>
                <w:webHidden/>
              </w:rPr>
              <w:tab/>
              <w:t>6</w:t>
            </w:r>
          </w:hyperlink>
        </w:p>
        <w:p w14:paraId="65C61C2F" w14:textId="77777777" w:rsidR="00AC002F" w:rsidRDefault="00CE4C0E">
          <w:pPr>
            <w:pStyle w:val="TM2"/>
            <w:tabs>
              <w:tab w:val="right" w:leader="dot" w:pos="9069"/>
            </w:tabs>
          </w:pPr>
          <w:hyperlink w:anchor="__RefHeading___Toc895_4189789723" w:tooltip="Déroulement de la procédure">
            <w:r w:rsidR="008E60F0">
              <w:rPr>
                <w:rStyle w:val="IndexLink"/>
                <w:webHidden/>
              </w:rPr>
              <w:t>2.3. Déroulement de la procédure</w:t>
            </w:r>
            <w:r w:rsidR="008E60F0">
              <w:rPr>
                <w:rStyle w:val="IndexLink"/>
                <w:webHidden/>
              </w:rPr>
              <w:tab/>
              <w:t>6</w:t>
            </w:r>
          </w:hyperlink>
        </w:p>
        <w:p w14:paraId="7C341A0D" w14:textId="77777777" w:rsidR="00AC002F" w:rsidRDefault="00CE4C0E">
          <w:pPr>
            <w:pStyle w:val="TM2"/>
            <w:tabs>
              <w:tab w:val="right" w:leader="dot" w:pos="9069"/>
            </w:tabs>
          </w:pPr>
          <w:hyperlink w:anchor="__RefHeading___Toc897_4189789723" w:tooltip="Faculté d’attribuer le Marché sans négociation">
            <w:r w:rsidR="008E60F0">
              <w:rPr>
                <w:rStyle w:val="IndexLink"/>
                <w:webHidden/>
              </w:rPr>
              <w:t>2.4. Faculté d’attribuer le Marché sans négociation</w:t>
            </w:r>
            <w:r w:rsidR="008E60F0">
              <w:rPr>
                <w:rStyle w:val="IndexLink"/>
                <w:webHidden/>
              </w:rPr>
              <w:tab/>
              <w:t>7</w:t>
            </w:r>
          </w:hyperlink>
        </w:p>
        <w:p w14:paraId="75D862E6" w14:textId="77777777" w:rsidR="00AC002F" w:rsidRDefault="00CE4C0E">
          <w:pPr>
            <w:pStyle w:val="TM2"/>
            <w:tabs>
              <w:tab w:val="right" w:leader="dot" w:pos="9069"/>
            </w:tabs>
          </w:pPr>
          <w:hyperlink w:anchor="__RefHeading___Toc899_4189789723" w:tooltip="Variantes">
            <w:r w:rsidR="008E60F0">
              <w:rPr>
                <w:rStyle w:val="IndexLink"/>
                <w:webHidden/>
              </w:rPr>
              <w:t>2.5. Variantes</w:t>
            </w:r>
            <w:r w:rsidR="008E60F0">
              <w:rPr>
                <w:rStyle w:val="IndexLink"/>
                <w:webHidden/>
              </w:rPr>
              <w:tab/>
              <w:t>7</w:t>
            </w:r>
          </w:hyperlink>
        </w:p>
        <w:p w14:paraId="09570D44" w14:textId="77777777" w:rsidR="00AC002F" w:rsidRDefault="00CE4C0E">
          <w:pPr>
            <w:pStyle w:val="TM2"/>
            <w:tabs>
              <w:tab w:val="right" w:leader="dot" w:pos="9069"/>
            </w:tabs>
          </w:pPr>
          <w:hyperlink w:anchor="__RefHeading___Toc901_4189789723" w:tooltip="Forme juridique de l’attributaire">
            <w:r w:rsidR="008E60F0">
              <w:rPr>
                <w:rStyle w:val="IndexLink"/>
                <w:webHidden/>
              </w:rPr>
              <w:t>2.6. Forme juridique de l’attributaire</w:t>
            </w:r>
            <w:r w:rsidR="008E60F0">
              <w:rPr>
                <w:rStyle w:val="IndexLink"/>
                <w:webHidden/>
              </w:rPr>
              <w:tab/>
              <w:t>7</w:t>
            </w:r>
          </w:hyperlink>
        </w:p>
        <w:p w14:paraId="6BA498FB" w14:textId="77777777" w:rsidR="00AC002F" w:rsidRDefault="00CE4C0E">
          <w:pPr>
            <w:pStyle w:val="TM2"/>
            <w:tabs>
              <w:tab w:val="right" w:leader="dot" w:pos="9069"/>
            </w:tabs>
          </w:pPr>
          <w:hyperlink w:anchor="__RefHeading___Toc907_4189789723" w:tooltip="Date limite de remise des candidatures">
            <w:r w:rsidR="008E60F0">
              <w:rPr>
                <w:rStyle w:val="IndexLink"/>
                <w:webHidden/>
              </w:rPr>
              <w:t>2.7. Date limite de remise des candidatures</w:t>
            </w:r>
            <w:r w:rsidR="008E60F0">
              <w:rPr>
                <w:rStyle w:val="IndexLink"/>
                <w:webHidden/>
              </w:rPr>
              <w:tab/>
              <w:t>8</w:t>
            </w:r>
          </w:hyperlink>
        </w:p>
        <w:p w14:paraId="248DC6A1" w14:textId="77777777" w:rsidR="00AC002F" w:rsidRDefault="00CE4C0E">
          <w:pPr>
            <w:pStyle w:val="TM2"/>
            <w:tabs>
              <w:tab w:val="right" w:leader="dot" w:pos="9069"/>
            </w:tabs>
          </w:pPr>
          <w:hyperlink w:anchor="__RefHeading___Toc909_4189789723" w:tooltip="Unité monétaire">
            <w:r w:rsidR="008E60F0">
              <w:rPr>
                <w:rStyle w:val="IndexLink"/>
                <w:webHidden/>
              </w:rPr>
              <w:t>2.8. Unité monétaire</w:t>
            </w:r>
            <w:r w:rsidR="008E60F0">
              <w:rPr>
                <w:rStyle w:val="IndexLink"/>
                <w:webHidden/>
              </w:rPr>
              <w:tab/>
              <w:t>8</w:t>
            </w:r>
          </w:hyperlink>
        </w:p>
        <w:p w14:paraId="6E09C243" w14:textId="77777777" w:rsidR="00AC002F" w:rsidRDefault="00CE4C0E">
          <w:pPr>
            <w:pStyle w:val="TM2"/>
            <w:tabs>
              <w:tab w:val="right" w:leader="dot" w:pos="9069"/>
            </w:tabs>
          </w:pPr>
          <w:hyperlink w:anchor="__RefHeading___Toc911_4189789723" w:tooltip="Langue">
            <w:r w:rsidR="008E60F0">
              <w:rPr>
                <w:rStyle w:val="IndexLink"/>
                <w:webHidden/>
              </w:rPr>
              <w:t>2.9. Langue</w:t>
            </w:r>
            <w:r w:rsidR="008E60F0">
              <w:rPr>
                <w:rStyle w:val="IndexLink"/>
                <w:webHidden/>
              </w:rPr>
              <w:tab/>
              <w:t>8</w:t>
            </w:r>
          </w:hyperlink>
        </w:p>
        <w:p w14:paraId="076E71E4" w14:textId="77777777" w:rsidR="00AC002F" w:rsidRDefault="00CE4C0E">
          <w:pPr>
            <w:pStyle w:val="TM1"/>
            <w:tabs>
              <w:tab w:val="right" w:leader="dot" w:pos="9069"/>
            </w:tabs>
          </w:pPr>
          <w:hyperlink w:anchor="__RefHeading___Toc913_4189789723" w:tooltip="Contenu du dossier de consultation">
            <w:r w:rsidR="008E60F0">
              <w:rPr>
                <w:rStyle w:val="IndexLink"/>
                <w:webHidden/>
              </w:rPr>
              <w:t>3. Contenu du dossier de consultation</w:t>
            </w:r>
            <w:r w:rsidR="008E60F0">
              <w:rPr>
                <w:rStyle w:val="IndexLink"/>
                <w:webHidden/>
              </w:rPr>
              <w:tab/>
              <w:t>9</w:t>
            </w:r>
          </w:hyperlink>
        </w:p>
        <w:p w14:paraId="3313DA85" w14:textId="77777777" w:rsidR="00AC002F" w:rsidRDefault="00CE4C0E">
          <w:pPr>
            <w:pStyle w:val="TM2"/>
            <w:tabs>
              <w:tab w:val="right" w:leader="dot" w:pos="9069"/>
            </w:tabs>
          </w:pPr>
          <w:hyperlink w:anchor="__RefHeading___Toc915_4189789723" w:tooltip="Pièces de la phase candidature">
            <w:r w:rsidR="008E60F0">
              <w:rPr>
                <w:rStyle w:val="IndexLink"/>
                <w:webHidden/>
              </w:rPr>
              <w:t>3.1. Pièces de la phase candidature</w:t>
            </w:r>
            <w:r w:rsidR="008E60F0">
              <w:rPr>
                <w:rStyle w:val="IndexLink"/>
                <w:webHidden/>
              </w:rPr>
              <w:tab/>
              <w:t>9</w:t>
            </w:r>
          </w:hyperlink>
        </w:p>
        <w:p w14:paraId="1BB2FDFB" w14:textId="77777777" w:rsidR="00AC002F" w:rsidRDefault="00CE4C0E">
          <w:pPr>
            <w:pStyle w:val="TM2"/>
            <w:tabs>
              <w:tab w:val="right" w:leader="dot" w:pos="9069"/>
            </w:tabs>
          </w:pPr>
          <w:hyperlink w:anchor="__RefHeading___Toc917_4189789723" w:tooltip="Pièces de la phase offres">
            <w:r w:rsidR="008E60F0">
              <w:rPr>
                <w:rStyle w:val="IndexLink"/>
                <w:webHidden/>
              </w:rPr>
              <w:t>3.2. Pièces de la phase offres</w:t>
            </w:r>
            <w:r w:rsidR="008E60F0">
              <w:rPr>
                <w:rStyle w:val="IndexLink"/>
                <w:webHidden/>
              </w:rPr>
              <w:tab/>
              <w:t>9</w:t>
            </w:r>
          </w:hyperlink>
        </w:p>
        <w:p w14:paraId="3CC63B9C" w14:textId="77777777" w:rsidR="00AC002F" w:rsidRDefault="00CE4C0E">
          <w:pPr>
            <w:pStyle w:val="TM2"/>
            <w:tabs>
              <w:tab w:val="right" w:leader="dot" w:pos="9069"/>
            </w:tabs>
          </w:pPr>
          <w:hyperlink w:anchor="__RefHeading___Toc919_4189789723" w:tooltip="Mise à disposition des pièces">
            <w:r w:rsidR="008E60F0">
              <w:rPr>
                <w:rStyle w:val="IndexLink"/>
                <w:webHidden/>
              </w:rPr>
              <w:t>3.3. Mise à disposition des pièces</w:t>
            </w:r>
            <w:r w:rsidR="008E60F0">
              <w:rPr>
                <w:rStyle w:val="IndexLink"/>
                <w:webHidden/>
              </w:rPr>
              <w:tab/>
              <w:t>9</w:t>
            </w:r>
          </w:hyperlink>
        </w:p>
        <w:p w14:paraId="1BE996B5" w14:textId="77777777" w:rsidR="00AC002F" w:rsidRDefault="00CE4C0E">
          <w:pPr>
            <w:pStyle w:val="TM2"/>
            <w:tabs>
              <w:tab w:val="right" w:leader="dot" w:pos="9069"/>
            </w:tabs>
          </w:pPr>
          <w:hyperlink w:anchor="__RefHeading___Toc921_4189789723" w:tooltip="Modification des DAC / DCE">
            <w:r w:rsidR="008E60F0">
              <w:rPr>
                <w:rStyle w:val="IndexLink"/>
                <w:webHidden/>
              </w:rPr>
              <w:t>3.4. Modification des DAC / DCE</w:t>
            </w:r>
            <w:r w:rsidR="008E60F0">
              <w:rPr>
                <w:rStyle w:val="IndexLink"/>
                <w:webHidden/>
              </w:rPr>
              <w:tab/>
              <w:t>9</w:t>
            </w:r>
          </w:hyperlink>
        </w:p>
        <w:p w14:paraId="6B4758B8" w14:textId="77777777" w:rsidR="00AC002F" w:rsidRDefault="00CE4C0E">
          <w:pPr>
            <w:pStyle w:val="TM1"/>
            <w:tabs>
              <w:tab w:val="right" w:leader="dot" w:pos="9069"/>
            </w:tabs>
          </w:pPr>
          <w:hyperlink w:anchor="__RefHeading___Toc923_4189789723" w:tooltip="Phase candidature">
            <w:r w:rsidR="008E60F0">
              <w:rPr>
                <w:rStyle w:val="IndexLink"/>
                <w:webHidden/>
              </w:rPr>
              <w:t>4. Phase candidature</w:t>
            </w:r>
            <w:r w:rsidR="008E60F0">
              <w:rPr>
                <w:rStyle w:val="IndexLink"/>
                <w:webHidden/>
              </w:rPr>
              <w:tab/>
              <w:t>10</w:t>
            </w:r>
          </w:hyperlink>
        </w:p>
        <w:p w14:paraId="2B23892D" w14:textId="77777777" w:rsidR="00AC002F" w:rsidRDefault="00CE4C0E">
          <w:pPr>
            <w:pStyle w:val="TM2"/>
            <w:tabs>
              <w:tab w:val="right" w:leader="dot" w:pos="9069"/>
            </w:tabs>
          </w:pPr>
          <w:hyperlink w:anchor="__RefHeading___Toc925_4189789723" w:tooltip="Contenu du dossier de candidature">
            <w:r w:rsidR="008E60F0">
              <w:rPr>
                <w:rStyle w:val="IndexLink"/>
                <w:webHidden/>
              </w:rPr>
              <w:t>4.1. Contenu du dossier de candidature</w:t>
            </w:r>
            <w:r w:rsidR="008E60F0">
              <w:rPr>
                <w:rStyle w:val="IndexLink"/>
                <w:webHidden/>
              </w:rPr>
              <w:tab/>
              <w:t>10</w:t>
            </w:r>
          </w:hyperlink>
        </w:p>
        <w:p w14:paraId="0D52406B" w14:textId="77777777" w:rsidR="00AC002F" w:rsidRDefault="00CE4C0E">
          <w:pPr>
            <w:pStyle w:val="TM2"/>
            <w:tabs>
              <w:tab w:val="right" w:leader="dot" w:pos="9069"/>
            </w:tabs>
          </w:pPr>
          <w:hyperlink w:anchor="__RefHeading___Toc927_4189789723" w:tooltip="Sélection des candidatures">
            <w:r w:rsidR="008E60F0">
              <w:rPr>
                <w:rStyle w:val="IndexLink"/>
                <w:webHidden/>
              </w:rPr>
              <w:t>4.2. Sélection des candidatures</w:t>
            </w:r>
            <w:r w:rsidR="008E60F0">
              <w:rPr>
                <w:rStyle w:val="IndexLink"/>
                <w:webHidden/>
              </w:rPr>
              <w:tab/>
              <w:t>11</w:t>
            </w:r>
          </w:hyperlink>
        </w:p>
        <w:p w14:paraId="277DFDC6" w14:textId="77777777" w:rsidR="00AC002F" w:rsidRDefault="00CE4C0E">
          <w:pPr>
            <w:pStyle w:val="TM1"/>
            <w:tabs>
              <w:tab w:val="right" w:leader="dot" w:pos="9069"/>
            </w:tabs>
          </w:pPr>
          <w:hyperlink w:anchor="__RefHeading___Toc929_4189789723" w:tooltip="Conditions de remise des plis">
            <w:r w:rsidR="008E60F0">
              <w:rPr>
                <w:rStyle w:val="IndexLink"/>
                <w:webHidden/>
              </w:rPr>
              <w:t>5. Conditions de remise des plis</w:t>
            </w:r>
            <w:r w:rsidR="008E60F0">
              <w:rPr>
                <w:rStyle w:val="IndexLink"/>
                <w:webHidden/>
              </w:rPr>
              <w:tab/>
              <w:t>12</w:t>
            </w:r>
          </w:hyperlink>
        </w:p>
        <w:p w14:paraId="277D518C" w14:textId="77777777" w:rsidR="00AC002F" w:rsidRDefault="00CE4C0E">
          <w:pPr>
            <w:pStyle w:val="TM2"/>
            <w:tabs>
              <w:tab w:val="right" w:leader="dot" w:pos="9069"/>
            </w:tabs>
          </w:pPr>
          <w:hyperlink w:anchor="__RefHeading___Toc931_4189789723" w:tooltip="Principes de transmission">
            <w:r w:rsidR="008E60F0">
              <w:rPr>
                <w:rStyle w:val="IndexLink"/>
                <w:webHidden/>
              </w:rPr>
              <w:t>5.1. Principes de transmission</w:t>
            </w:r>
            <w:r w:rsidR="008E60F0">
              <w:rPr>
                <w:rStyle w:val="IndexLink"/>
                <w:webHidden/>
              </w:rPr>
              <w:tab/>
              <w:t>13</w:t>
            </w:r>
          </w:hyperlink>
        </w:p>
        <w:p w14:paraId="0DAE3FAE" w14:textId="77777777" w:rsidR="00AC002F" w:rsidRDefault="00CE4C0E">
          <w:pPr>
            <w:pStyle w:val="TM2"/>
            <w:tabs>
              <w:tab w:val="right" w:leader="dot" w:pos="9069"/>
            </w:tabs>
          </w:pPr>
          <w:hyperlink w:anchor="__RefHeading___Toc933_4189789723" w:tooltip="Questions des candidats">
            <w:r w:rsidR="008E60F0">
              <w:rPr>
                <w:rStyle w:val="IndexLink"/>
                <w:webHidden/>
              </w:rPr>
              <w:t>5.2. Questions des candidats</w:t>
            </w:r>
            <w:r w:rsidR="008E60F0">
              <w:rPr>
                <w:rStyle w:val="IndexLink"/>
                <w:webHidden/>
              </w:rPr>
              <w:tab/>
              <w:t>13</w:t>
            </w:r>
          </w:hyperlink>
        </w:p>
        <w:p w14:paraId="70CDA530" w14:textId="77777777" w:rsidR="00AC002F" w:rsidRDefault="00CE4C0E">
          <w:pPr>
            <w:pStyle w:val="TM1"/>
            <w:tabs>
              <w:tab w:val="right" w:leader="dot" w:pos="9069"/>
            </w:tabs>
          </w:pPr>
          <w:hyperlink w:anchor="__RefHeading___Toc935_4189789723" w:tooltip="Phase offre">
            <w:r w:rsidR="008E60F0">
              <w:rPr>
                <w:rStyle w:val="IndexLink"/>
                <w:webHidden/>
              </w:rPr>
              <w:t>6. Phase offre</w:t>
            </w:r>
            <w:r w:rsidR="008E60F0">
              <w:rPr>
                <w:rStyle w:val="IndexLink"/>
                <w:webHidden/>
              </w:rPr>
              <w:tab/>
              <w:t>14</w:t>
            </w:r>
          </w:hyperlink>
        </w:p>
        <w:p w14:paraId="1C471E5F" w14:textId="77777777" w:rsidR="00AC002F" w:rsidRDefault="00CE4C0E">
          <w:pPr>
            <w:pStyle w:val="TM2"/>
            <w:tabs>
              <w:tab w:val="right" w:leader="dot" w:pos="9069"/>
            </w:tabs>
          </w:pPr>
          <w:hyperlink w:anchor="__RefHeading___Toc937_4189789723" w:tooltip="Présentation des offres">
            <w:r w:rsidR="008E60F0">
              <w:rPr>
                <w:rStyle w:val="IndexLink"/>
                <w:webHidden/>
              </w:rPr>
              <w:t>6.1. Présentation des offres</w:t>
            </w:r>
            <w:r w:rsidR="008E60F0">
              <w:rPr>
                <w:rStyle w:val="IndexLink"/>
                <w:webHidden/>
              </w:rPr>
              <w:tab/>
              <w:t>14</w:t>
            </w:r>
          </w:hyperlink>
        </w:p>
        <w:p w14:paraId="6F64E6C5" w14:textId="77777777" w:rsidR="00AC002F" w:rsidRDefault="00CE4C0E">
          <w:pPr>
            <w:pStyle w:val="TM2"/>
            <w:tabs>
              <w:tab w:val="right" w:leader="dot" w:pos="9069"/>
            </w:tabs>
          </w:pPr>
          <w:hyperlink w:anchor="__RefHeading___Toc939_4189789723" w:tooltip="Sélection des offres">
            <w:r w:rsidR="008E60F0">
              <w:rPr>
                <w:rStyle w:val="IndexLink"/>
                <w:webHidden/>
              </w:rPr>
              <w:t>6.2. Sélection des offres</w:t>
            </w:r>
            <w:r w:rsidR="008E60F0">
              <w:rPr>
                <w:rStyle w:val="IndexLink"/>
                <w:webHidden/>
              </w:rPr>
              <w:tab/>
              <w:t>14</w:t>
            </w:r>
          </w:hyperlink>
        </w:p>
        <w:p w14:paraId="0CF5FF9E" w14:textId="77777777" w:rsidR="00AC002F" w:rsidRDefault="00CE4C0E">
          <w:pPr>
            <w:pStyle w:val="TM2"/>
            <w:tabs>
              <w:tab w:val="right" w:leader="dot" w:pos="9069"/>
            </w:tabs>
          </w:pPr>
          <w:hyperlink w:anchor="__RefHeading___Toc941_4189789723" w:tooltip="Audition et négociation">
            <w:r w:rsidR="008E60F0">
              <w:rPr>
                <w:rStyle w:val="IndexLink"/>
                <w:webHidden/>
              </w:rPr>
              <w:t>6.3. Audition et négociation</w:t>
            </w:r>
            <w:r w:rsidR="008E60F0">
              <w:rPr>
                <w:rStyle w:val="IndexLink"/>
                <w:webHidden/>
              </w:rPr>
              <w:tab/>
              <w:t>15</w:t>
            </w:r>
          </w:hyperlink>
        </w:p>
        <w:p w14:paraId="545C012D" w14:textId="77777777" w:rsidR="00AC002F" w:rsidRDefault="00CE4C0E">
          <w:pPr>
            <w:pStyle w:val="TM1"/>
            <w:tabs>
              <w:tab w:val="right" w:leader="dot" w:pos="9069"/>
            </w:tabs>
          </w:pPr>
          <w:hyperlink w:anchor="__RefHeading___Toc943_4189789723" w:tooltip="Attribution du Marché">
            <w:r w:rsidR="008E60F0">
              <w:rPr>
                <w:rStyle w:val="IndexLink"/>
                <w:webHidden/>
              </w:rPr>
              <w:t>7. Attribution du Marché</w:t>
            </w:r>
            <w:r w:rsidR="008E60F0">
              <w:rPr>
                <w:rStyle w:val="IndexLink"/>
                <w:webHidden/>
              </w:rPr>
              <w:tab/>
              <w:t>16</w:t>
            </w:r>
          </w:hyperlink>
        </w:p>
        <w:p w14:paraId="68A5FEB3" w14:textId="77777777" w:rsidR="00AC002F" w:rsidRDefault="00CE4C0E">
          <w:pPr>
            <w:pStyle w:val="TM2"/>
            <w:tabs>
              <w:tab w:val="right" w:leader="dot" w:pos="9069"/>
            </w:tabs>
          </w:pPr>
          <w:hyperlink w:anchor="__RefHeading___Toc945_4189789723" w:tooltip="Classement et documents à fournir">
            <w:r w:rsidR="008E60F0">
              <w:rPr>
                <w:rStyle w:val="IndexLink"/>
                <w:webHidden/>
              </w:rPr>
              <w:t>7.1. Classement et documents à fournir</w:t>
            </w:r>
            <w:r w:rsidR="008E60F0">
              <w:rPr>
                <w:rStyle w:val="IndexLink"/>
                <w:webHidden/>
              </w:rPr>
              <w:tab/>
              <w:t>16</w:t>
            </w:r>
          </w:hyperlink>
        </w:p>
        <w:p w14:paraId="432913AF" w14:textId="77777777" w:rsidR="00AC002F" w:rsidRDefault="00CE4C0E">
          <w:pPr>
            <w:pStyle w:val="TM2"/>
            <w:tabs>
              <w:tab w:val="right" w:leader="dot" w:pos="9069"/>
            </w:tabs>
          </w:pPr>
          <w:hyperlink w:anchor="__RefHeading___Toc947_4189789723" w:tooltip="Mise au point éventuelle">
            <w:r w:rsidR="008E60F0">
              <w:rPr>
                <w:rStyle w:val="IndexLink"/>
                <w:webHidden/>
              </w:rPr>
              <w:t>7.2. Mise au point éventuelle</w:t>
            </w:r>
            <w:r w:rsidR="008E60F0">
              <w:rPr>
                <w:rStyle w:val="IndexLink"/>
                <w:webHidden/>
              </w:rPr>
              <w:tab/>
              <w:t>17</w:t>
            </w:r>
          </w:hyperlink>
        </w:p>
        <w:p w14:paraId="19E507AE" w14:textId="77777777" w:rsidR="00AC002F" w:rsidRDefault="00CE4C0E">
          <w:pPr>
            <w:pStyle w:val="TM1"/>
            <w:tabs>
              <w:tab w:val="right" w:leader="dot" w:pos="9069"/>
            </w:tabs>
          </w:pPr>
          <w:hyperlink w:anchor="__RefHeading___Toc949_4189789723" w:tooltip="Règlement des litiges">
            <w:r w:rsidR="008E60F0">
              <w:rPr>
                <w:rStyle w:val="IndexLink"/>
                <w:webHidden/>
              </w:rPr>
              <w:t>8. Règlement des litiges</w:t>
            </w:r>
            <w:r w:rsidR="008E60F0">
              <w:rPr>
                <w:rStyle w:val="IndexLink"/>
                <w:webHidden/>
              </w:rPr>
              <w:tab/>
              <w:t>17</w:t>
            </w:r>
          </w:hyperlink>
        </w:p>
        <w:p w14:paraId="02644F4B" w14:textId="77777777" w:rsidR="00AC002F" w:rsidRDefault="00CE4C0E">
          <w:pPr>
            <w:pStyle w:val="TM2"/>
            <w:tabs>
              <w:tab w:val="right" w:leader="dot" w:pos="9069"/>
            </w:tabs>
          </w:pPr>
          <w:hyperlink w:anchor="__RefHeading___Toc951_4189789723" w:tooltip="Médiation">
            <w:r w:rsidR="008E60F0">
              <w:rPr>
                <w:rStyle w:val="IndexLink"/>
                <w:webHidden/>
              </w:rPr>
              <w:t>8.1. Médiation</w:t>
            </w:r>
            <w:r w:rsidR="008E60F0">
              <w:rPr>
                <w:rStyle w:val="IndexLink"/>
                <w:webHidden/>
              </w:rPr>
              <w:tab/>
              <w:t>17</w:t>
            </w:r>
          </w:hyperlink>
        </w:p>
        <w:p w14:paraId="5D42A2BF" w14:textId="77777777" w:rsidR="00AC002F" w:rsidRDefault="00CE4C0E">
          <w:pPr>
            <w:pStyle w:val="TM2"/>
            <w:tabs>
              <w:tab w:val="right" w:leader="dot" w:pos="9069"/>
            </w:tabs>
          </w:pPr>
          <w:hyperlink w:anchor="__RefHeading___Toc953_4189789723" w:tooltip="Contentieux">
            <w:r w:rsidR="008E60F0">
              <w:rPr>
                <w:rStyle w:val="IndexLink"/>
                <w:webHidden/>
              </w:rPr>
              <w:t>8.2. Contentieux</w:t>
            </w:r>
            <w:r w:rsidR="008E60F0">
              <w:rPr>
                <w:rStyle w:val="IndexLink"/>
                <w:webHidden/>
              </w:rPr>
              <w:tab/>
              <w:t>17</w:t>
            </w:r>
          </w:hyperlink>
        </w:p>
        <w:p w14:paraId="606A6390" w14:textId="77777777" w:rsidR="00AC002F" w:rsidRDefault="00CE4C0E">
          <w:pPr>
            <w:pStyle w:val="TM2"/>
            <w:tabs>
              <w:tab w:val="right" w:leader="dot" w:pos="9069"/>
            </w:tabs>
          </w:pPr>
          <w:hyperlink w:anchor="__RefHeading___Toc955_4189789723" w:tooltip="Délais et voies de recours">
            <w:r w:rsidR="008E60F0">
              <w:rPr>
                <w:rStyle w:val="IndexLink"/>
                <w:webHidden/>
              </w:rPr>
              <w:t>8.3. Délais et voies de recours</w:t>
            </w:r>
            <w:r w:rsidR="008E60F0">
              <w:rPr>
                <w:rStyle w:val="IndexLink"/>
                <w:webHidden/>
              </w:rPr>
              <w:tab/>
              <w:t>17</w:t>
            </w:r>
          </w:hyperlink>
          <w:r w:rsidR="008E60F0">
            <w:rPr>
              <w:rStyle w:val="IndexLink"/>
            </w:rPr>
            <w:fldChar w:fldCharType="end"/>
          </w:r>
        </w:p>
      </w:sdtContent>
    </w:sdt>
    <w:p w14:paraId="6C7A648D" w14:textId="77777777" w:rsidR="00AC002F" w:rsidRDefault="008E60F0">
      <w:pPr>
        <w:pStyle w:val="Titre1"/>
        <w:pageBreakBefore w:val="0"/>
        <w:pBdr>
          <w:bottom w:val="nil"/>
        </w:pBdr>
        <w:spacing w:before="240" w:after="240"/>
        <w:jc w:val="both"/>
        <w:rPr>
          <w:rFonts w:asciiTheme="majorHAnsi" w:hAnsiTheme="majorHAnsi"/>
          <w:b w:val="0"/>
          <w:caps w:val="0"/>
          <w:color w:val="173043" w:themeColor="accent1" w:themeShade="BF"/>
          <w:lang w:eastAsia="fr-FR"/>
        </w:rPr>
      </w:pPr>
      <w:bookmarkStart w:id="0" w:name="__RefHeading___Toc869_4189789723"/>
      <w:bookmarkEnd w:id="0"/>
      <w:r>
        <w:rPr>
          <w:rFonts w:asciiTheme="majorHAnsi" w:hAnsiTheme="majorHAnsi"/>
          <w:b w:val="0"/>
          <w:caps w:val="0"/>
          <w:color w:val="173043" w:themeColor="accent1" w:themeShade="BF"/>
          <w:lang w:eastAsia="fr-FR"/>
        </w:rPr>
        <w:lastRenderedPageBreak/>
        <w:t>Préambule</w:t>
      </w:r>
    </w:p>
    <w:p w14:paraId="2E705BE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présente consultation est organisée en deux phases successives. Le présent règlement fixe les conditions dans lesquelles les opérateurs économiques présentent leur candidature, ainsi que les modalités selon lesquelles la CNCCFP sélectionne les candidats admis à présenter une offre.</w:t>
      </w:r>
    </w:p>
    <w:p w14:paraId="2781748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Seuls les candidats sélectionnés à l’issue de cette première phase seront invités à remettre une offre. Le dossier de consultation propre à la phase offres leur sera alors communiqué et un règlement de la consultation actualisé leur sera adressé.</w:t>
      </w:r>
    </w:p>
    <w:p w14:paraId="2C5FEB7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pouvoir adjudicateur se réserve la possibilité d’attribuer le Marché sur la base des offres initiales, sans négociation, dans les conditions prévues à l’article 2.4 du présent règlement.</w:t>
      </w:r>
    </w:p>
    <w:p w14:paraId="76D9AD5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Toute réserve ou modification apportée par un candidat aux pièces de la consultation et non expressément acceptée par le pouvoir adjudicateur est réputée non écrite et ne saurait engager ce dernier.</w:t>
      </w:r>
    </w:p>
    <w:p w14:paraId="17DCC744" w14:textId="77777777" w:rsidR="00AC002F" w:rsidRDefault="008E60F0">
      <w:pPr>
        <w:pStyle w:val="Titre2"/>
        <w:ind w:left="792"/>
        <w:jc w:val="both"/>
        <w:rPr>
          <w:rFonts w:asciiTheme="majorHAnsi" w:hAnsiTheme="majorHAnsi"/>
          <w:b w:val="0"/>
          <w:color w:val="173043" w:themeColor="accent1" w:themeShade="BF"/>
          <w:sz w:val="26"/>
          <w:lang w:eastAsia="fr-FR"/>
        </w:rPr>
      </w:pPr>
      <w:bookmarkStart w:id="1" w:name="__RefHeading___Toc871_4189789723"/>
      <w:bookmarkEnd w:id="1"/>
      <w:r>
        <w:rPr>
          <w:rFonts w:asciiTheme="majorHAnsi" w:hAnsiTheme="majorHAnsi"/>
          <w:b w:val="0"/>
          <w:color w:val="173043" w:themeColor="accent1" w:themeShade="BF"/>
          <w:sz w:val="26"/>
          <w:lang w:eastAsia="fr-FR"/>
        </w:rPr>
        <w:t>Type d’acheteur</w:t>
      </w:r>
    </w:p>
    <w:p w14:paraId="0BD5468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Commission nationale des comptes de campagne et des financements politiques (CNCCFP) est une autorité administrative indépendante.</w:t>
      </w:r>
    </w:p>
    <w:p w14:paraId="1000A109"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CNCCFP est une autorité publique centrale au sens de l’avis annexé au code de la commande publique.</w:t>
      </w:r>
    </w:p>
    <w:p w14:paraId="032E9BE2" w14:textId="77777777" w:rsidR="00AC002F" w:rsidRDefault="008E60F0">
      <w:pPr>
        <w:pStyle w:val="Titre2"/>
        <w:ind w:left="792"/>
        <w:jc w:val="both"/>
        <w:rPr>
          <w:rFonts w:asciiTheme="majorHAnsi" w:hAnsiTheme="majorHAnsi"/>
          <w:b w:val="0"/>
          <w:color w:val="173043" w:themeColor="accent1" w:themeShade="BF"/>
          <w:sz w:val="26"/>
          <w:lang w:eastAsia="fr-FR"/>
        </w:rPr>
      </w:pPr>
      <w:bookmarkStart w:id="2" w:name="__RefHeading___Toc873_4189789723"/>
      <w:bookmarkEnd w:id="2"/>
      <w:r>
        <w:rPr>
          <w:rFonts w:asciiTheme="majorHAnsi" w:hAnsiTheme="majorHAnsi"/>
          <w:b w:val="0"/>
          <w:color w:val="173043" w:themeColor="accent1" w:themeShade="BF"/>
          <w:sz w:val="26"/>
          <w:lang w:eastAsia="fr-FR"/>
        </w:rPr>
        <w:t>Présentation de l’acheteur</w:t>
      </w:r>
    </w:p>
    <w:p w14:paraId="2E1ED6C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Adresse postale : 31-35 rue de la Fédération 75015 PARIS</w:t>
      </w:r>
    </w:p>
    <w:p w14:paraId="7021D061"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Numéro de téléphone : 01 44 09 45 09</w:t>
      </w:r>
    </w:p>
    <w:p w14:paraId="5C440C67" w14:textId="2B13151B"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 xml:space="preserve">Numéro national d’identification : </w:t>
      </w:r>
      <w:r w:rsidR="00AE5915">
        <w:rPr>
          <w:rFonts w:ascii="Calibri" w:eastAsia="Calibri" w:hAnsi="Calibri" w:cs="Calibri"/>
          <w:sz w:val="22"/>
          <w:lang w:eastAsia="fr-FR"/>
        </w:rPr>
        <w:t>110 000 320 00033</w:t>
      </w:r>
    </w:p>
    <w:p w14:paraId="399CAC4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Code NUTS : FR101</w:t>
      </w:r>
    </w:p>
    <w:p w14:paraId="4A8ADA7E"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Adresse de messagerie pour obtenir des informations supplémentaires : marches-publics@cnccfp.fr</w:t>
      </w:r>
    </w:p>
    <w:p w14:paraId="4BECE96B"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3" w:name="__RefHeading___Toc875_4189789723"/>
      <w:bookmarkEnd w:id="3"/>
      <w:r>
        <w:rPr>
          <w:rFonts w:asciiTheme="majorHAnsi" w:hAnsiTheme="majorHAnsi"/>
          <w:b w:val="0"/>
          <w:caps w:val="0"/>
          <w:color w:val="173043" w:themeColor="accent1" w:themeShade="BF"/>
          <w:lang w:eastAsia="fr-FR"/>
        </w:rPr>
        <w:t>Présentation de la consultation</w:t>
      </w:r>
    </w:p>
    <w:p w14:paraId="5AC378F3"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4" w:name="__RefHeading___Toc877_4189789723"/>
      <w:bookmarkEnd w:id="4"/>
      <w:r>
        <w:rPr>
          <w:rFonts w:asciiTheme="majorHAnsi" w:hAnsiTheme="majorHAnsi"/>
          <w:b w:val="0"/>
          <w:color w:val="173043" w:themeColor="accent1" w:themeShade="BF"/>
          <w:sz w:val="26"/>
          <w:lang w:eastAsia="fr-FR"/>
        </w:rPr>
        <w:t>Objet</w:t>
      </w:r>
    </w:p>
    <w:p w14:paraId="1803DC4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Commission nationale des comptes de campagne et des financements politiques (CNCCFP) est une autorité administrative indépendante, chargée notamment du contrôle des comptes de campagne des candidats aux élections et du contrôle du respect par les partis politiques de leurs obligations comptables.</w:t>
      </w:r>
    </w:p>
    <w:p w14:paraId="6725FC4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 xml:space="preserve">Dans le cadre de sa feuille de route stratégique « CNCCFP Horizon 2030 », la Commission a engagé une transformation de ses services numériques. La refonte de son site internet constitue l’un des projets structurants de cette stratégie. Le site actuel remplit sa fonction d’information mais reste organisé autour du fonctionnement interne de la Commission ; le futur site devra être recentré sur </w:t>
      </w:r>
      <w:r>
        <w:rPr>
          <w:rFonts w:ascii="Calibri" w:eastAsia="Calibri" w:hAnsi="Calibri" w:cs="Calibri"/>
          <w:sz w:val="22"/>
          <w:lang w:eastAsia="fr-FR"/>
        </w:rPr>
        <w:lastRenderedPageBreak/>
        <w:t>les besoins de ses publics, développer sa dimension servicielle et pédagogique, et mieux valoriser les décisions, les données et l’expertise produites par la Commission.</w:t>
      </w:r>
    </w:p>
    <w:p w14:paraId="374D5A3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Marché a pour objet la conception, la réalisation, la mise en production, la maintenance et l’évolution du futur site internet de la CNCCFP. Il couvre notamment :</w:t>
      </w:r>
    </w:p>
    <w:p w14:paraId="2D8A989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conception fonctionnelle, graphique et ergonomique du site, dans le respect du design system de la Commission ;</w:t>
      </w:r>
    </w:p>
    <w:p w14:paraId="390CC3EE"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développement du site sur la base d’un CMS open source, sans exclure l’intégration de composants sous licence dès lors qu’ils sont justifiés au regard du besoin et compatibles avec les exigences de réversibilité, ainsi que la configuration de l’infrastructure d’hébergement et son administration pendant la première année d’exploitation ;</w:t>
      </w:r>
    </w:p>
    <w:p w14:paraId="39C54A97"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reprise et la valorisation des contenus, des ressources documentaires, des décisions et des données comptables publiées par la Commission ;</w:t>
      </w:r>
    </w:p>
    <w:p w14:paraId="60CB677C"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mise en œuvre d’un moteur de recherche documentaire performant, susceptible de s’appuyer sur des technologies d’intelligence artificielle afin d’améliorer la pertinence des résultats, à l’exclusion de toute génération automatique de réponses juridiques ;</w:t>
      </w:r>
    </w:p>
    <w:p w14:paraId="764DD7B6"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mise en place d’une solution d’affichage des données publiées par la Commission — décisions, comptes simplifiés des candidats et comptes des partis politiques — permettant la présentation des principaux montants, le téléchargement des documents associés, le filtrage selon différents critères, ainsi qu’un dispositif d’import et de contrôle des données avant leur publication ;</w:t>
      </w:r>
    </w:p>
    <w:p w14:paraId="23594EE4"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mise en place des interfaces permettant l’articulation avec les autres services numériques de la Commission, notamment la plateforme Polaris ;</w:t>
      </w:r>
    </w:p>
    <w:p w14:paraId="3434385A"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formation des contributeurs, la maintenance corrective, préventive et évolutive du site ainsi que sa réversibilité.</w:t>
      </w:r>
    </w:p>
    <w:p w14:paraId="52629F06" w14:textId="77777777" w:rsidR="00AC002F" w:rsidRDefault="00AC002F">
      <w:pPr>
        <w:spacing w:after="160"/>
        <w:rPr>
          <w:rFonts w:ascii="Calibri" w:eastAsia="Calibri" w:hAnsi="Calibri" w:cs="Calibri"/>
          <w:sz w:val="22"/>
          <w:lang w:eastAsia="fr-FR"/>
        </w:rPr>
      </w:pPr>
    </w:p>
    <w:p w14:paraId="2C7B8A3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caractéristiques détaillées des prestations sont décrites dans la note de présentation du besoin jointe au dossier administratif de consultation, puis précisées dans le cahier des clauses techniques particulières communiqué lors de la phase offres.</w:t>
      </w:r>
    </w:p>
    <w:p w14:paraId="1A721C1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projet pourra être articulé en deux livraisons successives : une première mise en ligne est attendue en septembre 2027, portant sur les rubriques, contenus et fonctionnalités prioritaires ; la livraison de l’ensemble du périmètre fonctionnel devra intervenir au plus tard le 31 décembre 2027. Il appartient aux candidats de proposer le phasage qu’ils estiment le mieux à même de sécuriser cette échéance, le calendrier proposé constituant un élément d’appréciation de la candidature puis de l’offre.</w:t>
      </w:r>
    </w:p>
    <w:p w14:paraId="26ABD24E"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5" w:name="__RefHeading___Toc879_4189789723"/>
      <w:bookmarkEnd w:id="5"/>
      <w:r>
        <w:rPr>
          <w:rFonts w:asciiTheme="majorHAnsi" w:hAnsiTheme="majorHAnsi"/>
          <w:b w:val="0"/>
          <w:color w:val="173043" w:themeColor="accent1" w:themeShade="BF"/>
          <w:sz w:val="26"/>
          <w:lang w:eastAsia="fr-FR"/>
        </w:rPr>
        <w:t>Lieux d’exécution</w:t>
      </w:r>
    </w:p>
    <w:p w14:paraId="28AFC62A"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prestations seront réalisées principalement à distance.</w:t>
      </w:r>
    </w:p>
    <w:p w14:paraId="7A520C3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Certaines prestations, notamment les réunions de pilotage, ateliers de travail, démonstrations ou actions de formation, pourront être réalisées au siège de la CNCCFP ou dans tout autre lieu indiqué par la CNCCFP en fonction des besoins du projet.</w:t>
      </w:r>
    </w:p>
    <w:p w14:paraId="38AB03A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lastRenderedPageBreak/>
        <w:t>Le Titulaire est informé que la CNCCFP se réserve également le droit de faire évoluer, au cours de l’exécution du Marché, la liste des lieux d’exécution.</w:t>
      </w:r>
    </w:p>
    <w:p w14:paraId="13B7F2B7"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6" w:name="__RefHeading___Toc881_4189789723"/>
      <w:bookmarkEnd w:id="6"/>
      <w:r>
        <w:rPr>
          <w:rFonts w:asciiTheme="majorHAnsi" w:hAnsiTheme="majorHAnsi"/>
          <w:b w:val="0"/>
          <w:color w:val="173043" w:themeColor="accent1" w:themeShade="BF"/>
          <w:sz w:val="26"/>
          <w:lang w:eastAsia="fr-FR"/>
        </w:rPr>
        <w:t>Type et forme du Marché</w:t>
      </w:r>
    </w:p>
    <w:p w14:paraId="12E7102E"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Dans le présent règlement, le terme « Marché » désigne l’accord-cadre objet de la présente consultation et le terme « Titulaire » l’opérateur économique auquel il sera attribué.</w:t>
      </w:r>
    </w:p>
    <w:p w14:paraId="456462F1"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présent Marché est un accord-cadre mono-attributaire, au sens de l’article L. 2125-1 du code de la commande publique.</w:t>
      </w:r>
    </w:p>
    <w:p w14:paraId="3734942A"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L’accord-cadre fixe l’ensemble des stipulations contractuelles. Conformément à l’article R. 2162-2 du même code, il est exécuté au fur et à mesure de l’émission de bons de commande, dans les conditions prévues aux articles R. 2162-13 et R. 2162-14. Il ne donne lieu à la conclusion d’aucun marché subséquent.</w:t>
      </w:r>
    </w:p>
    <w:p w14:paraId="7724D63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prestations sont rémunérées selon les modalités suivantes :</w:t>
      </w:r>
    </w:p>
    <w:p w14:paraId="5B3AD65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conception, la réalisation et la mise en production du site sont rémunérées à prix global et forfaitaire, dont la décomposition figure à la décomposition du prix global et forfaitaire (DPGF) ;</w:t>
      </w:r>
    </w:p>
    <w:p w14:paraId="7B3DCA34"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maintenance corrective et préventive est rémunérée par un forfait annuel ;</w:t>
      </w:r>
    </w:p>
    <w:p w14:paraId="0C831DBC"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maintenance évolutive et les prestations complémentaires utiles au fonctionnement et à l’évolution du site sont rémunérées aux prix unitaires du bordereau des prix unitaires (BPU).</w:t>
      </w:r>
    </w:p>
    <w:p w14:paraId="1D187E0E" w14:textId="77777777" w:rsidR="00AC002F" w:rsidRDefault="00AC002F">
      <w:pPr>
        <w:spacing w:after="160"/>
        <w:rPr>
          <w:rFonts w:ascii="Calibri" w:eastAsia="Calibri" w:hAnsi="Calibri" w:cs="Calibri"/>
          <w:sz w:val="22"/>
          <w:lang w:eastAsia="fr-FR"/>
        </w:rPr>
      </w:pPr>
    </w:p>
    <w:p w14:paraId="4FA8A0D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L’accord-cadre est conclu sans minimum et avec un maximum en valeur, fixé à l’article 1.6 du présent règlement.</w:t>
      </w:r>
    </w:p>
    <w:p w14:paraId="13307749"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7" w:name="__RefHeading___Toc883_4189789723"/>
      <w:bookmarkEnd w:id="7"/>
      <w:r>
        <w:rPr>
          <w:rFonts w:asciiTheme="majorHAnsi" w:hAnsiTheme="majorHAnsi"/>
          <w:b w:val="0"/>
          <w:color w:val="173043" w:themeColor="accent1" w:themeShade="BF"/>
          <w:sz w:val="26"/>
          <w:lang w:eastAsia="fr-FR"/>
        </w:rPr>
        <w:t>Décomposition du Marché</w:t>
      </w:r>
    </w:p>
    <w:p w14:paraId="455CF10E"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En application des articles L. 2113-10 et L. 2113-11 du code de la commande publique, le présent Marché n’est pas alloti.</w:t>
      </w:r>
    </w:p>
    <w:p w14:paraId="19986F2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Eu égard à la nature des prestations attendues, à leur forte interdépendance fonctionnelle et technique, à la nécessité de garantir la cohérence de l’expérience utilisateur, du design system et de l’architecture technique, ainsi qu’à l’unicité de la responsabilité en matière de sécurité, de performance et de réversibilité, la dévolution en lots séparés serait de nature à rendre l’exécution des prestations techniquement plus complexe et financièrement plus coûteuse.</w:t>
      </w:r>
    </w:p>
    <w:p w14:paraId="07EC95BE"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8" w:name="__RefHeading___Toc885_4189789723"/>
      <w:bookmarkEnd w:id="8"/>
      <w:r>
        <w:rPr>
          <w:rFonts w:asciiTheme="majorHAnsi" w:hAnsiTheme="majorHAnsi"/>
          <w:b w:val="0"/>
          <w:color w:val="173043" w:themeColor="accent1" w:themeShade="BF"/>
          <w:sz w:val="26"/>
          <w:lang w:eastAsia="fr-FR"/>
        </w:rPr>
        <w:t>Durée du Marché</w:t>
      </w:r>
    </w:p>
    <w:p w14:paraId="1A394F7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Marché est conclu pour une période initiale de vingt-quatre (24) mois à compter de sa notification. Il est reconductible tacitement deux (2) fois pour une durée d’un (1) an, sans que sa durée totale puisse excéder quatre (4) ans.</w:t>
      </w:r>
    </w:p>
    <w:p w14:paraId="23A9B5D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stipulations relatives à la durée sont détaillées au CCAP communiqué lors de la phase offres.</w:t>
      </w:r>
    </w:p>
    <w:p w14:paraId="40B0A788"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9" w:name="__RefHeading___Toc887_4189789723"/>
      <w:bookmarkEnd w:id="9"/>
      <w:r>
        <w:rPr>
          <w:rFonts w:asciiTheme="majorHAnsi" w:hAnsiTheme="majorHAnsi"/>
          <w:b w:val="0"/>
          <w:color w:val="173043" w:themeColor="accent1" w:themeShade="BF"/>
          <w:sz w:val="26"/>
          <w:lang w:eastAsia="fr-FR"/>
        </w:rPr>
        <w:lastRenderedPageBreak/>
        <w:t>Montant du Marché</w:t>
      </w:r>
    </w:p>
    <w:p w14:paraId="5417E45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montant du Marché est estimé, à titre indicatif et non contractuel, à trois cent cinquante mille (350 000) euros hors taxes, toutes prestations confondues et sur toute sa durée, reconductions comprises.</w:t>
      </w:r>
    </w:p>
    <w:p w14:paraId="33A0F3CB"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montant maximum de l’accord-cadre est fixé à quatre cent mille (400 000) euros hors taxes. Ce maximum, exigé par l’article R. 2162-4 du code de la commande publique, s’applique à l’ensemble des prestations sur toute la durée de l’accord-cadre, reconductions comprises.</w:t>
      </w:r>
    </w:p>
    <w:p w14:paraId="40B5801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L’accord-cadre est conclu sans minimum. Ces montants ne valent ni engagement de commande ni minimum contractuel, la CNCCFP n’étant tenue de commander aucun volume déterminé de prestations.</w:t>
      </w:r>
    </w:p>
    <w:p w14:paraId="0DFF1DC4"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10" w:name="__RefHeading___Toc889_4189789723"/>
      <w:bookmarkEnd w:id="10"/>
      <w:r>
        <w:rPr>
          <w:rFonts w:asciiTheme="majorHAnsi" w:hAnsiTheme="majorHAnsi"/>
          <w:b w:val="0"/>
          <w:caps w:val="0"/>
          <w:color w:val="173043" w:themeColor="accent1" w:themeShade="BF"/>
          <w:lang w:eastAsia="fr-FR"/>
        </w:rPr>
        <w:t>Caractéristiques de la consultation</w:t>
      </w:r>
    </w:p>
    <w:p w14:paraId="0F2598E9"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1" w:name="__RefHeading___Toc891_4189789723"/>
      <w:bookmarkEnd w:id="11"/>
      <w:r>
        <w:rPr>
          <w:rFonts w:asciiTheme="majorHAnsi" w:hAnsiTheme="majorHAnsi"/>
          <w:b w:val="0"/>
          <w:color w:val="173043" w:themeColor="accent1" w:themeShade="BF"/>
          <w:sz w:val="26"/>
          <w:lang w:eastAsia="fr-FR"/>
        </w:rPr>
        <w:t>Nomenclature communautaire</w:t>
      </w:r>
    </w:p>
    <w:p w14:paraId="1AEFF08A" w14:textId="771E22A0"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Code CPV principal : 72413000 – Services de conception de sites web (WWW)</w:t>
      </w:r>
    </w:p>
    <w:p w14:paraId="01EB9E8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Codes CPV supplémentaires :</w:t>
      </w:r>
    </w:p>
    <w:p w14:paraId="472C4919" w14:textId="172ABA7E" w:rsidR="00AC002F" w:rsidRDefault="008E60F0">
      <w:pPr>
        <w:pStyle w:val="Eximana"/>
        <w:numPr>
          <w:ilvl w:val="0"/>
          <w:numId w:val="23"/>
        </w:numPr>
        <w:spacing w:after="0"/>
        <w:rPr>
          <w:rFonts w:ascii="Calibri" w:eastAsiaTheme="minorHAnsi" w:hAnsi="Calibri"/>
        </w:rPr>
      </w:pPr>
      <w:r>
        <w:rPr>
          <w:rFonts w:ascii="Calibri" w:eastAsiaTheme="minorHAnsi" w:hAnsi="Calibri"/>
        </w:rPr>
        <w:t>72400000 – Services internet</w:t>
      </w:r>
    </w:p>
    <w:p w14:paraId="08FD318F" w14:textId="13C30103" w:rsidR="00AC002F" w:rsidRDefault="008E60F0">
      <w:pPr>
        <w:pStyle w:val="Eximana"/>
        <w:numPr>
          <w:ilvl w:val="0"/>
          <w:numId w:val="23"/>
        </w:numPr>
        <w:spacing w:after="0"/>
        <w:rPr>
          <w:rFonts w:ascii="Calibri" w:eastAsiaTheme="minorHAnsi" w:hAnsi="Calibri"/>
        </w:rPr>
      </w:pPr>
      <w:r>
        <w:rPr>
          <w:rFonts w:ascii="Calibri" w:eastAsiaTheme="minorHAnsi" w:hAnsi="Calibri"/>
        </w:rPr>
        <w:t>72267000 – Services de maintenance</w:t>
      </w:r>
      <w:r w:rsidR="00CE4C0E">
        <w:rPr>
          <w:rFonts w:ascii="Calibri" w:eastAsiaTheme="minorHAnsi" w:hAnsi="Calibri"/>
        </w:rPr>
        <w:t xml:space="preserve"> et de réparation</w:t>
      </w:r>
      <w:r>
        <w:rPr>
          <w:rFonts w:ascii="Calibri" w:eastAsiaTheme="minorHAnsi" w:hAnsi="Calibri"/>
        </w:rPr>
        <w:t xml:space="preserve"> de logiciels</w:t>
      </w:r>
    </w:p>
    <w:p w14:paraId="7462ED86"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2" w:name="__RefHeading___Toc893_4189789723"/>
      <w:bookmarkEnd w:id="12"/>
      <w:r>
        <w:rPr>
          <w:rFonts w:asciiTheme="majorHAnsi" w:hAnsiTheme="majorHAnsi"/>
          <w:b w:val="0"/>
          <w:color w:val="173043" w:themeColor="accent1" w:themeShade="BF"/>
          <w:sz w:val="26"/>
          <w:lang w:eastAsia="fr-FR"/>
        </w:rPr>
        <w:t>Procédure de la consultation</w:t>
      </w:r>
    </w:p>
    <w:p w14:paraId="123F1ED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Marché est passé selon une procédure avec négociation, définie à l’article L. 2124-3 du code de la commande publique. Les cas de recours à cette procédure sont fixés à l’article R. 2124-3 du même code et ses modalités de mise en œuvre aux articles R. 2161-12 à R. 2161-20.</w:t>
      </w:r>
    </w:p>
    <w:p w14:paraId="1A8E42E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recours à cette procédure est justifié par le fait que le Marché comporte des prestations de conception et que le besoin ne peut être satisfait sans l’adaptation de solutions immédiatement disponibles. Il porte en effet sur la conception sur mesure d’un site à vocation servicielle, sur la mise en œuvre d’un moteur de recherche documentaire portant sur un corpus de plusieurs dizaines de milliers de documents, sur des fonctionnalités reposant sur l’intelligence artificielle dont les modalités de mise en œuvre doivent être précisées avec les opérateurs, ainsi que sur l’articulation du site avec les autres services numériques de la Commission.</w:t>
      </w:r>
    </w:p>
    <w:p w14:paraId="5EAA0909"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3" w:name="__RefHeading___Toc895_4189789723"/>
      <w:bookmarkEnd w:id="13"/>
      <w:r>
        <w:rPr>
          <w:rFonts w:asciiTheme="majorHAnsi" w:hAnsiTheme="majorHAnsi"/>
          <w:b w:val="0"/>
          <w:color w:val="173043" w:themeColor="accent1" w:themeShade="BF"/>
          <w:sz w:val="26"/>
          <w:lang w:eastAsia="fr-FR"/>
        </w:rPr>
        <w:t>Déroulement de la procédure</w:t>
      </w:r>
    </w:p>
    <w:p w14:paraId="3C298C0A"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procédure se déroule en deux phases successives :</w:t>
      </w:r>
    </w:p>
    <w:p w14:paraId="20EE3972"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phase de sélection des candidatures ;</w:t>
      </w:r>
    </w:p>
    <w:p w14:paraId="6E1E8DC6"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phase de remise des offres, comprenant le cas échéant une ou plusieurs phases de négociation.</w:t>
      </w:r>
    </w:p>
    <w:p w14:paraId="2531CA16" w14:textId="77777777" w:rsidR="00AC002F" w:rsidRDefault="00AC002F">
      <w:pPr>
        <w:pStyle w:val="Eximana"/>
        <w:numPr>
          <w:ilvl w:val="0"/>
          <w:numId w:val="0"/>
        </w:numPr>
        <w:spacing w:after="0"/>
        <w:ind w:left="720"/>
        <w:rPr>
          <w:rFonts w:ascii="Calibri" w:eastAsiaTheme="minorHAnsi" w:hAnsi="Calibri"/>
        </w:rPr>
      </w:pPr>
    </w:p>
    <w:p w14:paraId="022269DD" w14:textId="77777777" w:rsidR="00AC002F" w:rsidRDefault="00AC002F">
      <w:pPr>
        <w:spacing w:after="160"/>
        <w:rPr>
          <w:rFonts w:ascii="Calibri" w:eastAsia="Calibri" w:hAnsi="Calibri" w:cs="Calibri"/>
          <w:sz w:val="22"/>
          <w:lang w:eastAsia="fr-FR"/>
        </w:rPr>
      </w:pPr>
    </w:p>
    <w:p w14:paraId="7D43FBC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lastRenderedPageBreak/>
        <w:t>Le calendrier prévisionnel est le suivant :</w:t>
      </w:r>
    </w:p>
    <w:p w14:paraId="341EFFDA" w14:textId="38D65EBB" w:rsidR="00AC002F" w:rsidRDefault="008E60F0">
      <w:pPr>
        <w:pStyle w:val="Eximana"/>
        <w:numPr>
          <w:ilvl w:val="0"/>
          <w:numId w:val="23"/>
        </w:numPr>
        <w:spacing w:after="0"/>
        <w:rPr>
          <w:rFonts w:ascii="Calibri" w:eastAsiaTheme="minorHAnsi" w:hAnsi="Calibri"/>
        </w:rPr>
      </w:pPr>
      <w:r>
        <w:rPr>
          <w:rFonts w:ascii="Calibri" w:eastAsiaTheme="minorHAnsi" w:hAnsi="Calibri"/>
        </w:rPr>
        <w:t>Publication de l’avis de marché : 2</w:t>
      </w:r>
      <w:r w:rsidR="00123018">
        <w:rPr>
          <w:rFonts w:ascii="Calibri" w:eastAsiaTheme="minorHAnsi" w:hAnsi="Calibri"/>
        </w:rPr>
        <w:t>5</w:t>
      </w:r>
      <w:r>
        <w:rPr>
          <w:rFonts w:ascii="Calibri" w:eastAsiaTheme="minorHAnsi" w:hAnsi="Calibri"/>
        </w:rPr>
        <w:t xml:space="preserve"> août 2026</w:t>
      </w:r>
    </w:p>
    <w:p w14:paraId="244A10A9" w14:textId="4221C933" w:rsidR="00AC002F" w:rsidRDefault="008E60F0">
      <w:pPr>
        <w:pStyle w:val="Eximana"/>
        <w:numPr>
          <w:ilvl w:val="0"/>
          <w:numId w:val="23"/>
        </w:numPr>
        <w:spacing w:after="0"/>
        <w:rPr>
          <w:rFonts w:ascii="Calibri" w:eastAsiaTheme="minorHAnsi" w:hAnsi="Calibri"/>
        </w:rPr>
      </w:pPr>
      <w:r>
        <w:rPr>
          <w:rFonts w:ascii="Calibri" w:eastAsiaTheme="minorHAnsi" w:hAnsi="Calibri"/>
        </w:rPr>
        <w:t>Date limite de réception des candidatures : 2</w:t>
      </w:r>
      <w:r w:rsidR="00123018">
        <w:rPr>
          <w:rFonts w:ascii="Calibri" w:eastAsiaTheme="minorHAnsi" w:hAnsi="Calibri"/>
        </w:rPr>
        <w:t>5</w:t>
      </w:r>
      <w:r>
        <w:rPr>
          <w:rFonts w:ascii="Calibri" w:eastAsiaTheme="minorHAnsi" w:hAnsi="Calibri"/>
        </w:rPr>
        <w:t xml:space="preserve"> septembre 2026</w:t>
      </w:r>
      <w:r w:rsidR="00CE4C0E">
        <w:rPr>
          <w:rFonts w:ascii="Calibri" w:eastAsiaTheme="minorHAnsi" w:hAnsi="Calibri"/>
        </w:rPr>
        <w:t>, à 12h00</w:t>
      </w:r>
    </w:p>
    <w:p w14:paraId="486DDB4A"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Sélection des candidats admis à présenter une offre et envoi de l’invitation à soumissionner : 9 octobre 2026</w:t>
      </w:r>
    </w:p>
    <w:p w14:paraId="3982930E"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Date limite de remise des offres initiales : 9 novembre 2026</w:t>
      </w:r>
    </w:p>
    <w:p w14:paraId="61504C8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Auditions et phase de négociation : 20 novembre – 18 décembre 2026</w:t>
      </w:r>
    </w:p>
    <w:p w14:paraId="609421EB"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Date limite de remise des offres finales : 18 décembre 2026</w:t>
      </w:r>
    </w:p>
    <w:p w14:paraId="2DE61687"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Choix de l’offre économiquement la plus avantageuse et information des candidats non retenus : janvier 2027</w:t>
      </w:r>
    </w:p>
    <w:p w14:paraId="6EFB10EE"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Signature et notification du Marché : janvier 2027</w:t>
      </w:r>
    </w:p>
    <w:p w14:paraId="30C57D23" w14:textId="77777777" w:rsidR="00AC002F" w:rsidRDefault="00AC002F">
      <w:pPr>
        <w:pStyle w:val="Eximana"/>
        <w:numPr>
          <w:ilvl w:val="0"/>
          <w:numId w:val="0"/>
        </w:numPr>
        <w:spacing w:after="0"/>
        <w:ind w:left="720"/>
        <w:rPr>
          <w:rFonts w:ascii="Calibri" w:eastAsiaTheme="minorHAnsi" w:hAnsi="Calibri"/>
        </w:rPr>
      </w:pPr>
    </w:p>
    <w:p w14:paraId="235E792A" w14:textId="77777777" w:rsidR="00AC002F" w:rsidRDefault="00AC002F">
      <w:pPr>
        <w:spacing w:after="160"/>
        <w:rPr>
          <w:rFonts w:ascii="Calibri" w:eastAsia="Calibri" w:hAnsi="Calibri" w:cs="Calibri"/>
          <w:sz w:val="22"/>
          <w:lang w:eastAsia="fr-FR"/>
        </w:rPr>
      </w:pPr>
    </w:p>
    <w:p w14:paraId="7A5B04B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 calendrier est prévisionnel ; il est susceptible d’être modifié.</w:t>
      </w:r>
    </w:p>
    <w:p w14:paraId="10D1C79D"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4" w:name="__RefHeading___Toc897_4189789723"/>
      <w:bookmarkEnd w:id="14"/>
      <w:r>
        <w:rPr>
          <w:rFonts w:asciiTheme="majorHAnsi" w:hAnsiTheme="majorHAnsi"/>
          <w:b w:val="0"/>
          <w:color w:val="173043" w:themeColor="accent1" w:themeShade="BF"/>
          <w:sz w:val="26"/>
          <w:lang w:eastAsia="fr-FR"/>
        </w:rPr>
        <w:t>Faculté d’attribuer le Marché sans négociation</w:t>
      </w:r>
    </w:p>
    <w:p w14:paraId="5AE39CB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Conformément à l’article R. 2161-17 du code de la commande publique, la CNCCFP se réserve expressément la possibilité d’attribuer le Marché sur la base des offres initiales, sans mener de négociation.</w:t>
      </w:r>
    </w:p>
    <w:p w14:paraId="6900DC2B"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candidats sont en conséquence invités à présenter, dès leur offre initiale, une proposition complète et définitive. Cette réserve est également mentionnée dans l’avis de marché.</w:t>
      </w:r>
    </w:p>
    <w:p w14:paraId="610B51D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exigences minimales que doivent respecter les offres, mentionnées à l’article R. 2161-13 du code de la commande publique, ainsi que les critères d’attribution ne peuvent faire l’objet de négociations.</w:t>
      </w:r>
    </w:p>
    <w:p w14:paraId="0A4F4E0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Ces exigences minimales seront énoncées dans le règlement de la consultation et le cahier des clauses techniques particulières communiqués aux candidats sélectionnés lors de la phase offres.</w:t>
      </w:r>
    </w:p>
    <w:p w14:paraId="1F70D00A"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5" w:name="__RefHeading___Toc899_4189789723"/>
      <w:bookmarkEnd w:id="15"/>
      <w:r>
        <w:rPr>
          <w:rFonts w:asciiTheme="majorHAnsi" w:hAnsiTheme="majorHAnsi"/>
          <w:b w:val="0"/>
          <w:color w:val="173043" w:themeColor="accent1" w:themeShade="BF"/>
          <w:sz w:val="26"/>
          <w:lang w:eastAsia="fr-FR"/>
        </w:rPr>
        <w:t>Variantes</w:t>
      </w:r>
    </w:p>
    <w:p w14:paraId="45E9C84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variantes, à l’initiative du candidat ou de la CNCCFP, ne sont pas autorisées. Le Marché ne comporte aucune option.</w:t>
      </w:r>
    </w:p>
    <w:p w14:paraId="34B531EC"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6" w:name="__RefHeading___Toc901_4189789723"/>
      <w:bookmarkEnd w:id="16"/>
      <w:r>
        <w:rPr>
          <w:rFonts w:asciiTheme="majorHAnsi" w:hAnsiTheme="majorHAnsi"/>
          <w:b w:val="0"/>
          <w:color w:val="173043" w:themeColor="accent1" w:themeShade="BF"/>
          <w:sz w:val="26"/>
          <w:lang w:eastAsia="fr-FR"/>
        </w:rPr>
        <w:t>Forme juridique de l’attributaire</w:t>
      </w:r>
    </w:p>
    <w:p w14:paraId="2648F451" w14:textId="77777777" w:rsidR="00AC002F" w:rsidRDefault="008E60F0">
      <w:pPr>
        <w:pStyle w:val="Titre3"/>
        <w:numPr>
          <w:ilvl w:val="2"/>
          <w:numId w:val="22"/>
        </w:numPr>
        <w:jc w:val="both"/>
        <w:rPr>
          <w:rFonts w:asciiTheme="majorHAnsi" w:hAnsiTheme="majorHAnsi"/>
          <w:b w:val="0"/>
          <w:color w:val="173043" w:themeColor="accent1" w:themeShade="BF"/>
          <w:sz w:val="26"/>
          <w:lang w:eastAsia="fr-FR"/>
        </w:rPr>
      </w:pPr>
      <w:bookmarkStart w:id="17" w:name="__RefHeading___Toc903_4189789723"/>
      <w:bookmarkEnd w:id="17"/>
      <w:r>
        <w:rPr>
          <w:rFonts w:asciiTheme="majorHAnsi" w:hAnsiTheme="majorHAnsi"/>
          <w:b w:val="0"/>
          <w:color w:val="173043" w:themeColor="accent1" w:themeShade="BF"/>
          <w:sz w:val="26"/>
          <w:lang w:eastAsia="fr-FR"/>
        </w:rPr>
        <w:t>Candidat individuel ou groupement</w:t>
      </w:r>
    </w:p>
    <w:p w14:paraId="57D1892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candidats pourront présenter une candidature puis une offre :</w:t>
      </w:r>
    </w:p>
    <w:p w14:paraId="1C86E905"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soit en qualité de candidats individuels,</w:t>
      </w:r>
    </w:p>
    <w:p w14:paraId="7EA62E7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soit en qualité de membres d’un groupement d’opérateurs économiques.</w:t>
      </w:r>
    </w:p>
    <w:p w14:paraId="4851A0A3" w14:textId="77777777" w:rsidR="00AC002F" w:rsidRDefault="00AC002F">
      <w:pPr>
        <w:spacing w:after="160"/>
        <w:rPr>
          <w:rFonts w:ascii="Calibri" w:eastAsia="Calibri" w:hAnsi="Calibri" w:cs="Calibri"/>
          <w:sz w:val="22"/>
          <w:lang w:eastAsia="fr-FR"/>
        </w:rPr>
      </w:pPr>
    </w:p>
    <w:p w14:paraId="7E8C6E8B"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candidats sont informés que les groupements d’opérateurs économiques peuvent être constitués sous forme conjointe ou solidaire, conformément aux dispositions du code de la commande publique.</w:t>
      </w:r>
    </w:p>
    <w:p w14:paraId="6C79C8D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En cas d’attribution du Marché à un groupement conjoint, le mandataire du groupement sera solidaire, pour l’exécution de celui-ci, de chacun des membres du groupement pour ses obligations contractuelles.</w:t>
      </w:r>
    </w:p>
    <w:p w14:paraId="171A2A1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En cas d’attribution du Marché à un groupement solidaire, chacun des opérateurs économiques membres du groupement est engagé financièrement pour la totalité du Marché.</w:t>
      </w:r>
    </w:p>
    <w:p w14:paraId="61CD42F7" w14:textId="77777777" w:rsidR="00AC002F" w:rsidRDefault="008E60F0">
      <w:pPr>
        <w:pStyle w:val="Titre3"/>
        <w:numPr>
          <w:ilvl w:val="2"/>
          <w:numId w:val="22"/>
        </w:numPr>
        <w:jc w:val="both"/>
        <w:rPr>
          <w:rFonts w:asciiTheme="majorHAnsi" w:hAnsiTheme="majorHAnsi"/>
          <w:b w:val="0"/>
          <w:color w:val="173043" w:themeColor="accent1" w:themeShade="BF"/>
          <w:sz w:val="26"/>
          <w:lang w:eastAsia="fr-FR"/>
        </w:rPr>
      </w:pPr>
      <w:bookmarkStart w:id="18" w:name="__RefHeading___Toc905_4189789723"/>
      <w:bookmarkEnd w:id="18"/>
      <w:r>
        <w:rPr>
          <w:rFonts w:asciiTheme="majorHAnsi" w:hAnsiTheme="majorHAnsi"/>
          <w:b w:val="0"/>
          <w:color w:val="173043" w:themeColor="accent1" w:themeShade="BF"/>
          <w:sz w:val="26"/>
          <w:lang w:eastAsia="fr-FR"/>
        </w:rPr>
        <w:t>Sous-traitance</w:t>
      </w:r>
    </w:p>
    <w:p w14:paraId="1A8EE7A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L’offre, qu’elle soit présentée par une seule entreprise ou par un groupement, devra indiquer tous les sous-traitants connus lors de son dépôt.</w:t>
      </w:r>
    </w:p>
    <w:p w14:paraId="775AD1E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Il est rappelé aux candidats que la loi n° 75-1334 du 31 décembre 1975 oblige le Titulaire qui sous-traite l’exécution de certaines parties de son Marché à obtenir de la CNCCFP, avant le commencement d’exécution des prestations sous-traitées, l’acceptation de chaque sous-traitant et l’agrément des conditions de paiement du contrat de sous-traitance, selon la procédure prévue aux articles R. 2193-1 et suivants du code de la commande publique.</w:t>
      </w:r>
    </w:p>
    <w:p w14:paraId="723386F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Lorsque la part des prestations susceptibles d’être sous-traitées est connue de façon détaillée au moment du dépôt de l’offre, le candidat précise dans son offre la part des prestations qu’il compte exécuter lui-même, ainsi que l’identité des sous-traitants pressentis et la part des prestations qui leur serait confiée.</w:t>
      </w:r>
    </w:p>
    <w:p w14:paraId="3DCEDD0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candidats sont informés qu’ils devront s’assurer que leurs sous-traitants respectent les exigences de sécurité, de confidentialité et de protection des données applicables au Marché, telles qu’elles seront définies au CCAP, et que la CNCCFP se réserve la faculté d’en contrôler le respect.</w:t>
      </w:r>
    </w:p>
    <w:p w14:paraId="4402EB4D"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19" w:name="__RefHeading___Toc907_4189789723"/>
      <w:bookmarkEnd w:id="19"/>
      <w:r>
        <w:rPr>
          <w:rFonts w:asciiTheme="majorHAnsi" w:hAnsiTheme="majorHAnsi"/>
          <w:b w:val="0"/>
          <w:color w:val="173043" w:themeColor="accent1" w:themeShade="BF"/>
          <w:sz w:val="26"/>
          <w:lang w:eastAsia="fr-FR"/>
        </w:rPr>
        <w:t>Date limite de remise des candidatures</w:t>
      </w:r>
    </w:p>
    <w:p w14:paraId="3F09CFE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date et l’heure limites de réception des candidatures sont fixées à :</w:t>
      </w:r>
    </w:p>
    <w:p w14:paraId="767A8099" w14:textId="62E4C11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Jeudi 2</w:t>
      </w:r>
      <w:r w:rsidR="00123018">
        <w:rPr>
          <w:rFonts w:ascii="Calibri" w:eastAsia="Calibri" w:hAnsi="Calibri" w:cs="Calibri"/>
          <w:sz w:val="22"/>
          <w:lang w:eastAsia="fr-FR"/>
        </w:rPr>
        <w:t>5</w:t>
      </w:r>
      <w:r>
        <w:rPr>
          <w:rFonts w:ascii="Calibri" w:eastAsia="Calibri" w:hAnsi="Calibri" w:cs="Calibri"/>
          <w:sz w:val="22"/>
          <w:lang w:eastAsia="fr-FR"/>
        </w:rPr>
        <w:t xml:space="preserve"> septembre 2026, à 12h00</w:t>
      </w:r>
    </w:p>
    <w:p w14:paraId="54A4750D"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0" w:name="__RefHeading___Toc909_4189789723"/>
      <w:bookmarkEnd w:id="20"/>
      <w:r>
        <w:rPr>
          <w:rFonts w:asciiTheme="majorHAnsi" w:hAnsiTheme="majorHAnsi"/>
          <w:b w:val="0"/>
          <w:color w:val="173043" w:themeColor="accent1" w:themeShade="BF"/>
          <w:sz w:val="26"/>
          <w:lang w:eastAsia="fr-FR"/>
        </w:rPr>
        <w:t>Unité monétaire</w:t>
      </w:r>
    </w:p>
    <w:p w14:paraId="442B5D2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L’unité monétaire en vigueur pour ce Marché sera l’Euro (€).</w:t>
      </w:r>
    </w:p>
    <w:p w14:paraId="4EA14416"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1" w:name="__RefHeading___Toc911_4189789723"/>
      <w:bookmarkEnd w:id="21"/>
      <w:r>
        <w:rPr>
          <w:rFonts w:asciiTheme="majorHAnsi" w:hAnsiTheme="majorHAnsi"/>
          <w:b w:val="0"/>
          <w:color w:val="173043" w:themeColor="accent1" w:themeShade="BF"/>
          <w:sz w:val="26"/>
          <w:lang w:eastAsia="fr-FR"/>
        </w:rPr>
        <w:t>Langue</w:t>
      </w:r>
    </w:p>
    <w:p w14:paraId="1BBDCC32"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candidatures et les offres devront être rédigées en français.</w:t>
      </w:r>
    </w:p>
    <w:p w14:paraId="5B4F699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Par ailleurs, les candidats seront tenus de joindre une traduction en français aux documents rédigés dans une autre langue qu’ils remettent à l’appui de leur candidature ou de leur offre.</w:t>
      </w:r>
    </w:p>
    <w:p w14:paraId="10928E04"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22" w:name="__RefHeading___Toc913_4189789723"/>
      <w:bookmarkEnd w:id="22"/>
      <w:r>
        <w:rPr>
          <w:rFonts w:asciiTheme="majorHAnsi" w:hAnsiTheme="majorHAnsi"/>
          <w:b w:val="0"/>
          <w:caps w:val="0"/>
          <w:color w:val="173043" w:themeColor="accent1" w:themeShade="BF"/>
          <w:lang w:eastAsia="fr-FR"/>
        </w:rPr>
        <w:lastRenderedPageBreak/>
        <w:t>Contenu du dossier de consultation</w:t>
      </w:r>
    </w:p>
    <w:p w14:paraId="615EDFDB"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3" w:name="__RefHeading___Toc915_4189789723"/>
      <w:bookmarkEnd w:id="23"/>
      <w:r>
        <w:rPr>
          <w:rFonts w:asciiTheme="majorHAnsi" w:hAnsiTheme="majorHAnsi"/>
          <w:b w:val="0"/>
          <w:color w:val="173043" w:themeColor="accent1" w:themeShade="BF"/>
          <w:sz w:val="26"/>
          <w:lang w:eastAsia="fr-FR"/>
        </w:rPr>
        <w:t>Pièces de la phase candidature</w:t>
      </w:r>
    </w:p>
    <w:p w14:paraId="0FBEBB7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dossier administratif de consultation des entreprises (DAC) contient les pièces suivantes :</w:t>
      </w:r>
    </w:p>
    <w:p w14:paraId="23297A3A"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règlement de la consultation (RC) ;</w:t>
      </w:r>
    </w:p>
    <w:p w14:paraId="0942C1F0"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note de présentation du besoin ;</w:t>
      </w:r>
    </w:p>
    <w:p w14:paraId="6116D6DF"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les formulaires administratifs (DC1 et DC2).</w:t>
      </w:r>
    </w:p>
    <w:p w14:paraId="443E1C2D"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4" w:name="__RefHeading___Toc917_4189789723"/>
      <w:bookmarkEnd w:id="24"/>
      <w:r>
        <w:rPr>
          <w:rFonts w:asciiTheme="majorHAnsi" w:hAnsiTheme="majorHAnsi"/>
          <w:b w:val="0"/>
          <w:color w:val="173043" w:themeColor="accent1" w:themeShade="BF"/>
          <w:sz w:val="26"/>
          <w:lang w:eastAsia="fr-FR"/>
        </w:rPr>
        <w:t>Pièces de la phase offres</w:t>
      </w:r>
    </w:p>
    <w:p w14:paraId="1DCBCB28"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dossier de consultation des entreprises (DCE) contiendra a minima les pièces suivantes :</w:t>
      </w:r>
    </w:p>
    <w:p w14:paraId="2E3D8B15"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règlement de la consultation (RC) ;</w:t>
      </w:r>
    </w:p>
    <w:p w14:paraId="0A0D7E66"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l’acte d’engagement (AE) et ses annexes ;</w:t>
      </w:r>
    </w:p>
    <w:p w14:paraId="42B6B365"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cahier des clauses administratives particulières (CCAP) ;</w:t>
      </w:r>
    </w:p>
    <w:p w14:paraId="760D073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cahier des clauses techniques particulières (CCTP) et ses annexes ;</w:t>
      </w:r>
    </w:p>
    <w:p w14:paraId="6CDA23BD"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bordereau des prix unitaires (BPU) ;</w:t>
      </w:r>
    </w:p>
    <w:p w14:paraId="0799FF60"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décomposition du prix global et forfaitaire (DPGF) ;</w:t>
      </w:r>
    </w:p>
    <w:p w14:paraId="39E6C72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cadre de réponse technique (CRT) ;</w:t>
      </w:r>
    </w:p>
    <w:p w14:paraId="65726B92"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formulaire de déclaration de sous-traitance (DC4), le cas échéant.</w:t>
      </w:r>
    </w:p>
    <w:p w14:paraId="7195A26B" w14:textId="77777777" w:rsidR="00AC002F" w:rsidRDefault="00AC002F">
      <w:pPr>
        <w:spacing w:after="160"/>
        <w:rPr>
          <w:rFonts w:ascii="Calibri" w:eastAsia="Calibri" w:hAnsi="Calibri" w:cs="Calibri"/>
          <w:sz w:val="22"/>
          <w:lang w:eastAsia="fr-FR"/>
        </w:rPr>
      </w:pPr>
    </w:p>
    <w:p w14:paraId="1484CFAC"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5" w:name="__RefHeading___Toc919_4189789723"/>
      <w:bookmarkEnd w:id="25"/>
      <w:r>
        <w:rPr>
          <w:rFonts w:asciiTheme="majorHAnsi" w:hAnsiTheme="majorHAnsi"/>
          <w:b w:val="0"/>
          <w:color w:val="173043" w:themeColor="accent1" w:themeShade="BF"/>
          <w:sz w:val="26"/>
          <w:lang w:eastAsia="fr-FR"/>
        </w:rPr>
        <w:t>Mise à disposition des pièces</w:t>
      </w:r>
    </w:p>
    <w:p w14:paraId="461FA312"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DAC puis le DCE seront disponibles gratuitement à l’adresse électronique suivante :</w:t>
      </w:r>
    </w:p>
    <w:p w14:paraId="46BFBC1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https://www.marches-publics.gouv.fr</w:t>
      </w:r>
    </w:p>
    <w:p w14:paraId="44A05E74" w14:textId="6B31BEBC"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 xml:space="preserve">Sous la référence publique suivante : </w:t>
      </w:r>
      <w:r w:rsidR="00CE4C0E" w:rsidRPr="00CE4C0E">
        <w:rPr>
          <w:rFonts w:ascii="Calibri" w:eastAsia="Calibri" w:hAnsi="Calibri" w:cs="Calibri"/>
          <w:sz w:val="22"/>
          <w:lang w:eastAsia="fr-FR"/>
        </w:rPr>
        <w:t>CNCCFP-Site-internet</w:t>
      </w:r>
    </w:p>
    <w:p w14:paraId="575471A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L’ensemble des pièces relatives à la présente consultation est directement téléchargeable à l’adresse renseignée ci-dessus.</w:t>
      </w:r>
    </w:p>
    <w:p w14:paraId="5D9870D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Aucune demande d’envoi du DAC ou du DCE sur support physique électronique n’est autorisée.</w:t>
      </w:r>
    </w:p>
    <w:p w14:paraId="3C2D3D19"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6" w:name="__RefHeading___Toc921_4189789723"/>
      <w:bookmarkEnd w:id="26"/>
      <w:r>
        <w:rPr>
          <w:rFonts w:asciiTheme="majorHAnsi" w:hAnsiTheme="majorHAnsi"/>
          <w:b w:val="0"/>
          <w:color w:val="173043" w:themeColor="accent1" w:themeShade="BF"/>
          <w:sz w:val="26"/>
          <w:lang w:eastAsia="fr-FR"/>
        </w:rPr>
        <w:t>Modification des DAC / DCE</w:t>
      </w:r>
    </w:p>
    <w:p w14:paraId="2E8DB7E2"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CNCCFP se réserve le droit d’apporter des modifications de détail aux DAC et DCE jusqu’à six (6) jours avant la date limite fixée pour la remise des candidatures puis des offres. Les candidats ne pourront former aucune réclamation à ce sujet.</w:t>
      </w:r>
    </w:p>
    <w:p w14:paraId="0DD41DB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Si, pendant le délai de remise des candidatures ou des offres, la date limite fixée pour la remise de celles-ci est reportée, la disposition précédente est applicable en fonction de cette nouvelle date.</w:t>
      </w:r>
    </w:p>
    <w:p w14:paraId="1D859DD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lastRenderedPageBreak/>
        <w:t>Les candidats sont informés que s’ils ne se sont pas préalablement identifiés pour accéder aux documents de la consultation sur la plateforme de téléchargement du profil acheteur, en fournissant notamment une adresse de messagerie valable et objet d’un suivi régulier, les modifications de détail au dossier de consultation ne pourront leur être communiquées.</w:t>
      </w:r>
    </w:p>
    <w:p w14:paraId="2A046A0A"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27" w:name="__RefHeading___Toc923_4189789723"/>
      <w:bookmarkEnd w:id="27"/>
      <w:r>
        <w:rPr>
          <w:rFonts w:asciiTheme="majorHAnsi" w:hAnsiTheme="majorHAnsi"/>
          <w:b w:val="0"/>
          <w:caps w:val="0"/>
          <w:color w:val="173043" w:themeColor="accent1" w:themeShade="BF"/>
          <w:lang w:eastAsia="fr-FR"/>
        </w:rPr>
        <w:t>Phase candidature</w:t>
      </w:r>
    </w:p>
    <w:p w14:paraId="0664D8EE"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8" w:name="__RefHeading___Toc925_4189789723"/>
      <w:bookmarkEnd w:id="28"/>
      <w:r>
        <w:rPr>
          <w:rFonts w:asciiTheme="majorHAnsi" w:hAnsiTheme="majorHAnsi"/>
          <w:b w:val="0"/>
          <w:color w:val="173043" w:themeColor="accent1" w:themeShade="BF"/>
          <w:sz w:val="26"/>
          <w:lang w:eastAsia="fr-FR"/>
        </w:rPr>
        <w:t>Contenu du dossier de candidature</w:t>
      </w:r>
    </w:p>
    <w:p w14:paraId="65E2C70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Pour la phase de candidature, chaque candidat aura à produire un dossier complet comprenant les pièces suivantes, telles que prévues aux articles L. 2142-1, R. 2142-1, R. 2143-3 et R. 2143-4 du code de la commande publique.</w:t>
      </w:r>
    </w:p>
    <w:p w14:paraId="47FA239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lettre de candidature (ou formulaire DC1) et, le cas échéant, la lettre d’habilitation du mandataire par ses cotraitants ;</w:t>
      </w:r>
    </w:p>
    <w:p w14:paraId="62346611"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déclaration DC2 (une par membre du groupement le cas échéant) ;</w:t>
      </w:r>
    </w:p>
    <w:p w14:paraId="0F3C90F1"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les pouvoirs de la ou des personnes habilitées à engager la société. Pour les candidats non établis en France, les pièces similaires au regard des règles d’effet équivalent.</w:t>
      </w:r>
    </w:p>
    <w:p w14:paraId="21911D35" w14:textId="77777777" w:rsidR="00AC002F" w:rsidRDefault="00AC002F">
      <w:pPr>
        <w:spacing w:after="160"/>
        <w:rPr>
          <w:rFonts w:ascii="Calibri" w:eastAsia="Calibri" w:hAnsi="Calibri" w:cs="Calibri"/>
          <w:sz w:val="22"/>
          <w:lang w:eastAsia="fr-FR"/>
        </w:rPr>
      </w:pPr>
    </w:p>
    <w:p w14:paraId="571A41C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Pour le candidat et, le cas échéant, pour chacun des membres du groupement :</w:t>
      </w:r>
    </w:p>
    <w:p w14:paraId="255B8DF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déclaration concernant le chiffre d’affaires global et le chiffre d’affaires concernant les services objet du Marché, réalisés au cours des trois derniers exercices disponibles ;</w:t>
      </w:r>
    </w:p>
    <w:p w14:paraId="44615E65"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déclaration indiquant les effectifs moyens annuels du candidat et l’importance du personnel d’encadrement pour chacune des trois dernières années ;</w:t>
      </w:r>
    </w:p>
    <w:p w14:paraId="666F2E9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liste des principales prestations de conception et de réalisation de sites internet effectuées au cours des trois dernières années, indiquant le montant, la date et le destinataire public ou privé, ainsi que, le cas échéant, les fonctionnalités de recherche documentaire mises en œuvre et les volumétries traitées. Les prestations sont prouvées par des attestations du destinataire ou, à défaut, par une déclaration de l’opérateur économique.</w:t>
      </w:r>
    </w:p>
    <w:p w14:paraId="525B5841" w14:textId="77777777" w:rsidR="00AC002F" w:rsidRDefault="00AC002F">
      <w:pPr>
        <w:pStyle w:val="Eximana"/>
        <w:numPr>
          <w:ilvl w:val="0"/>
          <w:numId w:val="0"/>
        </w:numPr>
        <w:spacing w:after="0"/>
        <w:ind w:left="720"/>
        <w:rPr>
          <w:rFonts w:ascii="Calibri" w:eastAsiaTheme="minorHAnsi" w:hAnsi="Calibri"/>
        </w:rPr>
      </w:pPr>
    </w:p>
    <w:p w14:paraId="1555AA0E" w14:textId="77777777" w:rsidR="00AC002F" w:rsidRDefault="00AC002F">
      <w:pPr>
        <w:spacing w:after="160"/>
        <w:rPr>
          <w:rFonts w:ascii="Calibri" w:eastAsia="Calibri" w:hAnsi="Calibri" w:cs="Calibri"/>
          <w:sz w:val="22"/>
          <w:lang w:eastAsia="fr-FR"/>
        </w:rPr>
      </w:pPr>
    </w:p>
    <w:p w14:paraId="126998E8"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Pour le candidat ou le groupement pris dans son ensemble :</w:t>
      </w:r>
    </w:p>
    <w:p w14:paraId="781BAA22"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présentation illustrée de trois réalisations au maximum, sous forme de portfolio ou de planche de références, permettant à la Commission d’apprécier la qualité graphique, éditoriale et ergonomique des sites réalisés, avec mention de l’adresse des sites en ligne lorsqu’ils sont accessibles ;</w:t>
      </w:r>
    </w:p>
    <w:p w14:paraId="585AE0D9"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description détaillée de l’équipe susceptible d’être dédiée au projet, précisant les compétences mobilisées en gestion de projet, conception graphique et ergonomique, développement, référencement naturel et accessibilité, accompagnée des curriculum vitae correspondants ;</w:t>
      </w:r>
    </w:p>
    <w:p w14:paraId="3170C07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 xml:space="preserve">une note de compréhension du besoin, de huit (8) pages au maximum, exposant la compréhension par le candidat des missions de la Commission et des objectifs du projet, les </w:t>
      </w:r>
      <w:r>
        <w:rPr>
          <w:rFonts w:ascii="Calibri" w:eastAsiaTheme="minorHAnsi" w:hAnsi="Calibri"/>
        </w:rPr>
        <w:lastRenderedPageBreak/>
        <w:t>points du besoin lui paraissant appeler une attention particulière, le séquencement du projet qu’il préconise pour sécuriser une mise en ligne en septembre 2027, la méthodologie de conduite de projet envisagée ainsi que les dispositifs de gouvernance, de pilotage et de suivi proposés.</w:t>
      </w:r>
    </w:p>
    <w:p w14:paraId="4D949B0D" w14:textId="77777777" w:rsidR="00AC002F" w:rsidRDefault="00AC002F">
      <w:pPr>
        <w:pStyle w:val="Eximana"/>
        <w:numPr>
          <w:ilvl w:val="0"/>
          <w:numId w:val="0"/>
        </w:numPr>
        <w:spacing w:after="0"/>
        <w:ind w:left="720"/>
        <w:rPr>
          <w:rFonts w:ascii="Calibri" w:eastAsiaTheme="minorHAnsi" w:hAnsi="Calibri"/>
        </w:rPr>
      </w:pPr>
    </w:p>
    <w:p w14:paraId="590D2B4C" w14:textId="77777777" w:rsidR="00AC002F" w:rsidRDefault="00AC002F">
      <w:pPr>
        <w:spacing w:after="160"/>
        <w:rPr>
          <w:rFonts w:ascii="Calibri" w:eastAsia="Calibri" w:hAnsi="Calibri" w:cs="Calibri"/>
          <w:sz w:val="22"/>
          <w:lang w:eastAsia="fr-FR"/>
        </w:rPr>
      </w:pPr>
    </w:p>
    <w:p w14:paraId="6942D9D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En application de l’article R. 2143-4 du code de la commande publique, le candidat peut présenter sa candidature sous la forme d’un document unique de marché européen (DUME), en lieu et place de la déclaration sur l’honneur et des renseignements et documents mentionnés à l’article R. 2143-3 du même code. Les pièces spécifiquement exigées par la CNCCFP au titre de la présente consultation — présentation illustrée de réalisations, description de l’équipe et curriculum vitae, note de compréhension du besoin — restent dues en tout état de cause. Les candidats ne sont pas autorisés à se borner à déclarer dans le DUME qu’ils disposent de l’aptitude et des capacités requises. Le service permettant de remplir le DUME est disponible à l’adresse suivante :</w:t>
      </w:r>
    </w:p>
    <w:p w14:paraId="44AB5DFA"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https://ec.europa.eu/growth/tools-databases/espd/filter?lang=fr</w:t>
      </w:r>
    </w:p>
    <w:p w14:paraId="7D410FFD"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29" w:name="__RefHeading___Toc927_4189789723"/>
      <w:bookmarkEnd w:id="29"/>
      <w:r>
        <w:rPr>
          <w:rFonts w:asciiTheme="majorHAnsi" w:hAnsiTheme="majorHAnsi"/>
          <w:b w:val="0"/>
          <w:color w:val="173043" w:themeColor="accent1" w:themeShade="BF"/>
          <w:sz w:val="26"/>
          <w:lang w:eastAsia="fr-FR"/>
        </w:rPr>
        <w:t>Sélection des candidatures</w:t>
      </w:r>
    </w:p>
    <w:p w14:paraId="440F6AC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Avant de procéder à l’examen des candidatures, s’il apparaît que des pièces du dossier de candidature sont manquantes ou incomplètes, la CNCCFP peut décider de demander à tous les candidats concernés de produire ou compléter ces pièces dans un délai maximum de cinq (5) jours.</w:t>
      </w:r>
    </w:p>
    <w:p w14:paraId="1E7F1BB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candidatures conformes et recevables seront examinées, à partir des seuls renseignements et documents exigés dans le cadre de cette consultation, pour évaluer la situation juridique des candidats ainsi que leurs capacités professionnelles, techniques et financières.</w:t>
      </w:r>
    </w:p>
    <w:p w14:paraId="0D58399E"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Conformément aux articles R. 2142-15 à R. 2142-18 du code de la commande publique, la CNCCFP limite le nombre de candidats qui seront invités à participer à la phase offres. À l’issue de l’analyse des candidatures, elle retiendra au minimum trois (3) candidats et au maximum cinq (5) candidats admis à présenter une offre, sous réserve d’un nombre suffisant de candidatures recevables.</w:t>
      </w:r>
    </w:p>
    <w:p w14:paraId="0CA723F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candidatures recevables sont appréciées et notées sur un total de cent (100) points, au regard des critères suivants.</w:t>
      </w:r>
    </w:p>
    <w:p w14:paraId="031B6BB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1. Capacités techniques et professionnelles du candidat (45 points)</w:t>
      </w:r>
    </w:p>
    <w:p w14:paraId="4E00DD31"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 critère est apprécié notamment au regard :</w:t>
      </w:r>
    </w:p>
    <w:p w14:paraId="12328F1A"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des références du candidat portant sur des projets comparables, en particulier la refonte de sites institutionnels ou de sites d’organismes publics à vocation servicielle ;</w:t>
      </w:r>
    </w:p>
    <w:p w14:paraId="38A88AF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l’expérience acquise en matière de mise en place d’un moteur de recherche documentaire performant et de gestion de corpus documentaires volumineux, cette expérience constituant un élément d’appréciation essentiel au regard des enjeux du projet ;</w:t>
      </w:r>
    </w:p>
    <w:p w14:paraId="34E75017"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la qualité graphique, éditoriale et ergonomique des réalisations présentées ;</w:t>
      </w:r>
    </w:p>
    <w:p w14:paraId="28F8449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la qualité et de l’expérience de l’équipe pressentie, appréciées au regard des compétences clés mobilisées, de l’expérience des profils proposés et de l’adéquation des moyens humains et techniques avec les enjeux et les délais du projet ;</w:t>
      </w:r>
    </w:p>
    <w:p w14:paraId="576C449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lastRenderedPageBreak/>
        <w:t>des méthodes et outils mis en œuvre pour la conduite de projets de cette nature, incluant les démarches itératives et les dispositifs de pilotage, de suivi et de sécurisation des délais.</w:t>
      </w:r>
    </w:p>
    <w:p w14:paraId="6F8F8E92" w14:textId="77777777" w:rsidR="00AC002F" w:rsidRDefault="00AC002F">
      <w:pPr>
        <w:pStyle w:val="Eximana"/>
        <w:numPr>
          <w:ilvl w:val="0"/>
          <w:numId w:val="0"/>
        </w:numPr>
        <w:spacing w:after="0"/>
        <w:ind w:left="720"/>
        <w:rPr>
          <w:rFonts w:ascii="Calibri" w:eastAsiaTheme="minorHAnsi" w:hAnsi="Calibri"/>
        </w:rPr>
      </w:pPr>
    </w:p>
    <w:p w14:paraId="715D68B4" w14:textId="77777777" w:rsidR="00AC002F" w:rsidRDefault="00AC002F">
      <w:pPr>
        <w:spacing w:after="160"/>
        <w:rPr>
          <w:rFonts w:ascii="Calibri" w:eastAsia="Calibri" w:hAnsi="Calibri" w:cs="Calibri"/>
          <w:sz w:val="22"/>
          <w:lang w:eastAsia="fr-FR"/>
        </w:rPr>
      </w:pPr>
    </w:p>
    <w:p w14:paraId="2786B05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2. Compréhension des enjeux du projet et aptitude à respecter les délais impératifs (40 points)</w:t>
      </w:r>
    </w:p>
    <w:p w14:paraId="752893B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 critère est apprécié au regard :</w:t>
      </w:r>
    </w:p>
    <w:p w14:paraId="30B7823D"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la compréhension par le candidat des missions de la Commission, de la diversité de ses publics et des enjeux fonctionnels, éditoriaux et techniques propres au projet ;</w:t>
      </w:r>
    </w:p>
    <w:p w14:paraId="0B0C1ED4"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la pertinence de l’analyse des points du besoin appelant une attention particulière ou un approfondissement au démarrage du projet ;</w:t>
      </w:r>
    </w:p>
    <w:p w14:paraId="6B07551F"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la capacité du candidat à présenter un séquencement du projet permettant de garantir la mise en ligne du site en septembre 2027 puis la livraison de l’ensemble du périmètre fonctionnel au plus tard le 31 décembre 2027 ;</w:t>
      </w:r>
    </w:p>
    <w:p w14:paraId="1359899D"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des dispositifs proposés pour permettre à la CNCCFP de s’assurer de l’avancement effectif du projet, notamment la gouvernance, les jalons, le reporting et les démonstrations intermédiaires.</w:t>
      </w:r>
    </w:p>
    <w:p w14:paraId="6D010F8B" w14:textId="77777777" w:rsidR="00AC002F" w:rsidRDefault="00AC002F">
      <w:pPr>
        <w:pStyle w:val="Eximana"/>
        <w:numPr>
          <w:ilvl w:val="0"/>
          <w:numId w:val="0"/>
        </w:numPr>
        <w:spacing w:after="0"/>
        <w:ind w:left="720"/>
        <w:rPr>
          <w:rFonts w:ascii="Calibri" w:eastAsiaTheme="minorHAnsi" w:hAnsi="Calibri"/>
        </w:rPr>
      </w:pPr>
    </w:p>
    <w:p w14:paraId="5CBE3A96" w14:textId="77777777" w:rsidR="00AC002F" w:rsidRDefault="00AC002F">
      <w:pPr>
        <w:spacing w:after="160"/>
        <w:rPr>
          <w:rFonts w:ascii="Calibri" w:eastAsia="Calibri" w:hAnsi="Calibri" w:cs="Calibri"/>
          <w:sz w:val="22"/>
          <w:lang w:eastAsia="fr-FR"/>
        </w:rPr>
      </w:pPr>
    </w:p>
    <w:p w14:paraId="08DA665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3. Capacités économiques et financières du candidat (15 points)</w:t>
      </w:r>
    </w:p>
    <w:p w14:paraId="3D949C8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 critère est apprécié au regard :</w:t>
      </w:r>
    </w:p>
    <w:p w14:paraId="0946A69E"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du chiffre d’affaires global et du chiffre d’affaires relatif à des prestations comparables, sur les trois derniers exercices disponibles ;</w:t>
      </w:r>
    </w:p>
    <w:p w14:paraId="7672A342"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de la solidité financière du candidat ou du groupement, appréciée au regard des déclarations produites et de sa capacité à mobiliser les moyens nécessaires à l’exécution du Marché dans les délais impartis.</w:t>
      </w:r>
    </w:p>
    <w:p w14:paraId="26EE0D18" w14:textId="77777777" w:rsidR="00AC002F" w:rsidRDefault="00AC002F">
      <w:pPr>
        <w:spacing w:after="160"/>
        <w:rPr>
          <w:rFonts w:ascii="Calibri" w:eastAsia="Calibri" w:hAnsi="Calibri" w:cs="Calibri"/>
          <w:sz w:val="22"/>
          <w:lang w:eastAsia="fr-FR"/>
        </w:rPr>
      </w:pPr>
    </w:p>
    <w:p w14:paraId="15791DC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À l’issue de l’examen des candidatures, seuls les candidats admis à soumissionner sont invités à participer à la suite de la consultation et à remettre une offre. Les autres candidats sont informés du rejet de leur candidature.</w:t>
      </w:r>
    </w:p>
    <w:p w14:paraId="6277F66A"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30" w:name="__RefHeading___Toc929_4189789723"/>
      <w:bookmarkEnd w:id="30"/>
      <w:r>
        <w:rPr>
          <w:rFonts w:asciiTheme="majorHAnsi" w:hAnsiTheme="majorHAnsi"/>
          <w:b w:val="0"/>
          <w:caps w:val="0"/>
          <w:color w:val="173043" w:themeColor="accent1" w:themeShade="BF"/>
          <w:lang w:eastAsia="fr-FR"/>
        </w:rPr>
        <w:t>Conditions de remise des plis</w:t>
      </w:r>
    </w:p>
    <w:p w14:paraId="2F35374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candidatures doivent parvenir, exclusivement par voie dématérialisée, au plus tard à la date et à l’heure fixées à l’article 2.7 du présent règlement. La date et l’heure limites de remise des offres initiales seront précisées aux candidats retenus dans l’invitation à soumissionner.</w:t>
      </w:r>
    </w:p>
    <w:p w14:paraId="2796281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candidatures et les offres reçues hors délai sont éliminées en application des articles R. 2143-2 (candidatures) et R. 2151-5 (offres) du code de la commande publique.</w:t>
      </w:r>
    </w:p>
    <w:p w14:paraId="468C9B8C"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1" w:name="__RefHeading___Toc931_4189789723"/>
      <w:bookmarkEnd w:id="31"/>
      <w:r>
        <w:rPr>
          <w:rFonts w:asciiTheme="majorHAnsi" w:hAnsiTheme="majorHAnsi"/>
          <w:b w:val="0"/>
          <w:color w:val="173043" w:themeColor="accent1" w:themeShade="BF"/>
          <w:sz w:val="26"/>
          <w:lang w:eastAsia="fr-FR"/>
        </w:rPr>
        <w:lastRenderedPageBreak/>
        <w:t>Principes de transmission</w:t>
      </w:r>
    </w:p>
    <w:p w14:paraId="1B38359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candidat remet sa proposition par dépôt sur la Plate-forme des achats de l’État « marches-publics.gouv.fr ». Pour ce faire, le candidat doit d’abord se connecter au site de la plateforme des achats de l’État (PLACE) à partir de l’adresse électronique ci-après :</w:t>
      </w:r>
    </w:p>
    <w:p w14:paraId="566D5CCA"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https://www.marches-publics.gouv.fr/?page=entreprise.AccueilEntreprise</w:t>
      </w:r>
    </w:p>
    <w:p w14:paraId="3C8D9749"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candidat dépose, sur la plateforme, un dossier unique comprenant les éléments de candidature.</w:t>
      </w:r>
    </w:p>
    <w:p w14:paraId="1EF1A68F" w14:textId="0F99295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plis devront être transmis avant le jour et l’heure limites</w:t>
      </w:r>
      <w:r w:rsidR="00AE5915">
        <w:rPr>
          <w:rFonts w:ascii="Calibri" w:eastAsia="Calibri" w:hAnsi="Calibri" w:cs="Calibri"/>
          <w:sz w:val="22"/>
          <w:lang w:eastAsia="fr-FR"/>
        </w:rPr>
        <w:t xml:space="preserve"> </w:t>
      </w:r>
      <w:r>
        <w:rPr>
          <w:rFonts w:ascii="Calibri" w:eastAsia="Calibri" w:hAnsi="Calibri" w:cs="Calibri"/>
          <w:sz w:val="22"/>
          <w:lang w:eastAsia="fr-FR"/>
        </w:rPr>
        <w:t>fixés au présent règlement de la consultation. L’heure limite retenue pour la réception du pli correspondra au dernier octet reçu.</w:t>
      </w:r>
    </w:p>
    <w:p w14:paraId="378F8A0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plis parvenus après cette date et heure limites par voie dématérialisée seront éliminés sans avoir été lus et le candidat en sera informé.</w:t>
      </w:r>
    </w:p>
    <w:p w14:paraId="18AEEC5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Afin de pouvoir décompresser et lire les documents mis à disposition, le pouvoir adjudicateur invite les candidats à disposer des formats ci-dessous. Cette liste vise à faciliter le téléchargement et la lecture des documents. Pour tout autre format qui serait utilisé par le candidat, celui-ci devra transmettre l’adresse d’un site sur lequel le pouvoir adjudicateur pourra télécharger gratuitement un outil en permettant la lecture :</w:t>
      </w:r>
    </w:p>
    <w:p w14:paraId="09AE59A5"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standard .zip ;</w:t>
      </w:r>
    </w:p>
    <w:p w14:paraId="00B1C8B7"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.doc, .docx, .xls, .xlsx, .ppt et .pptx ;</w:t>
      </w:r>
    </w:p>
    <w:p w14:paraId="3F6DC9AE"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Adobe® Acrobat® .pdf ;</w:t>
      </w:r>
    </w:p>
    <w:p w14:paraId="71DEF0B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.odt, .ods, .odp, .odg ;</w:t>
      </w:r>
    </w:p>
    <w:p w14:paraId="10C4FC31"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pour les images bitmap : .bmp, .jpg, .gif, .png.</w:t>
      </w:r>
    </w:p>
    <w:p w14:paraId="700B8C56" w14:textId="77777777" w:rsidR="00AC002F" w:rsidRDefault="00AC002F">
      <w:pPr>
        <w:spacing w:after="160"/>
        <w:rPr>
          <w:rFonts w:ascii="Calibri" w:eastAsia="Calibri" w:hAnsi="Calibri" w:cs="Calibri"/>
          <w:sz w:val="22"/>
          <w:lang w:eastAsia="fr-FR"/>
        </w:rPr>
      </w:pPr>
    </w:p>
    <w:p w14:paraId="0613A35A"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candidats sont invités à ne pas utiliser de macros et à traiter préalablement par un antivirus les fichiers constitutifs de leur candidature et de leur offre. À défaut, le pouvoir adjudicateur se réserve la possibilité de rejeter le pli du candidat.</w:t>
      </w:r>
    </w:p>
    <w:p w14:paraId="3A6E5A9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modalités pratiques de dépôt des candidatures puis des offres sont précisées dans le guide d’utilisation « utilisateur opérateur économique » accessible et téléchargeable sous l’onglet « AIDE » du site de la PLACE.</w:t>
      </w:r>
    </w:p>
    <w:p w14:paraId="3695EA62"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signature électronique des documents n’est pas exigée au stade du dépôt des candidatures et des offres. Les modalités de signature du Marché par l’attributaire sont précisées à l’article 7.1 du présent règlement.</w:t>
      </w:r>
    </w:p>
    <w:p w14:paraId="304D8CCA"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2" w:name="__RefHeading___Toc933_4189789723"/>
      <w:bookmarkEnd w:id="32"/>
      <w:r>
        <w:rPr>
          <w:rFonts w:asciiTheme="majorHAnsi" w:hAnsiTheme="majorHAnsi"/>
          <w:b w:val="0"/>
          <w:color w:val="173043" w:themeColor="accent1" w:themeShade="BF"/>
          <w:sz w:val="26"/>
          <w:lang w:eastAsia="fr-FR"/>
        </w:rPr>
        <w:t>Questions des candidats</w:t>
      </w:r>
    </w:p>
    <w:p w14:paraId="2A1EFD6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candidats peuvent demander à la CNCCFP, jusqu’à huit (8) jours avant la date limite de remise des plis, les renseignements nécessaires à l’établissement de leur dossier de candidature ou, le cas échéant, de leur offre. Toute demande d’informations complémentaires doit être adressée via la plateforme.</w:t>
      </w:r>
    </w:p>
    <w:p w14:paraId="01EBE7A2"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lastRenderedPageBreak/>
        <w:t>La CNCCFP délivrera, par voie électronique, les renseignements complémentaires demandés au plus tard six (6) jours avant la date limite de remise des plis. Les renseignements complémentaires demandés et délivrés à un candidat seront simultanément délivrés aux autres candidats.</w:t>
      </w:r>
    </w:p>
    <w:p w14:paraId="5221E075"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33" w:name="__RefHeading___Toc935_4189789723"/>
      <w:bookmarkEnd w:id="33"/>
      <w:r>
        <w:rPr>
          <w:rFonts w:asciiTheme="majorHAnsi" w:hAnsiTheme="majorHAnsi"/>
          <w:b w:val="0"/>
          <w:caps w:val="0"/>
          <w:color w:val="173043" w:themeColor="accent1" w:themeShade="BF"/>
          <w:lang w:eastAsia="fr-FR"/>
        </w:rPr>
        <w:t>Phase offre</w:t>
      </w:r>
    </w:p>
    <w:p w14:paraId="78ACC198"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4" w:name="__RefHeading___Toc937_4189789723"/>
      <w:bookmarkEnd w:id="34"/>
      <w:r>
        <w:rPr>
          <w:rFonts w:asciiTheme="majorHAnsi" w:hAnsiTheme="majorHAnsi"/>
          <w:b w:val="0"/>
          <w:color w:val="173043" w:themeColor="accent1" w:themeShade="BF"/>
          <w:sz w:val="26"/>
          <w:lang w:eastAsia="fr-FR"/>
        </w:rPr>
        <w:t>Présentation des offres</w:t>
      </w:r>
    </w:p>
    <w:p w14:paraId="168BD3F1"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Pour la phase offres, chaque candidat invité à présenter une offre aura à produire un dossier complet comprenant a minima les pièces suivantes :</w:t>
      </w:r>
    </w:p>
    <w:p w14:paraId="0D4E7170"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l’acte d’engagement et ses annexes dûment complétés ;</w:t>
      </w:r>
    </w:p>
    <w:p w14:paraId="15628199"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décomposition du prix global et forfaitaire (DPGF) dûment complétée ;</w:t>
      </w:r>
    </w:p>
    <w:p w14:paraId="7F128EFD"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bordereau des prix unitaires (BPU) dûment complété ;</w:t>
      </w:r>
    </w:p>
    <w:p w14:paraId="060479E6"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calendrier de réalisation détaillé jusqu’à la mise en ligne de septembre 2027 puis jusqu’à la livraison de l’ensemble du périmètre fonctionnel ;</w:t>
      </w:r>
    </w:p>
    <w:p w14:paraId="74C514F0"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cadre de réponse technique (CRT) et ses annexes ;</w:t>
      </w:r>
    </w:p>
    <w:p w14:paraId="47C137B8"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formulaire de déclaration de sous-traitance (DC4), le cas échéant.</w:t>
      </w:r>
    </w:p>
    <w:p w14:paraId="5A83637C" w14:textId="77777777" w:rsidR="00AC002F" w:rsidRDefault="00AC002F">
      <w:pPr>
        <w:spacing w:after="160"/>
        <w:rPr>
          <w:rFonts w:ascii="Calibri" w:eastAsia="Calibri" w:hAnsi="Calibri" w:cs="Calibri"/>
          <w:sz w:val="22"/>
          <w:lang w:eastAsia="fr-FR"/>
        </w:rPr>
      </w:pPr>
    </w:p>
    <w:p w14:paraId="7D8C7D7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composition précise du cadre de réponse technique sera arrêtée dans le DCE communiqué lors de la phase offres. Elle comprendra a minima une note relative à la conception fonctionnelle, graphique et ergonomique du site, une note relative à l’architecture technique, à l’hébergement, à la sécurité et à la réversibilité, une note relative à la recherche documentaire et aux fonctionnalités reposant sur l’intelligence artificielle, une note relative à l’affichage, à l’import et au contrôle des données publiées, une note relative à la stratégie de référencement naturel, ainsi qu’une note relative à la maintenance, à la formation des contributeurs et à l’accompagnement post-lancement.</w:t>
      </w:r>
    </w:p>
    <w:p w14:paraId="11B6FE67"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5" w:name="__RefHeading___Toc939_4189789723"/>
      <w:bookmarkEnd w:id="35"/>
      <w:r>
        <w:rPr>
          <w:rFonts w:asciiTheme="majorHAnsi" w:hAnsiTheme="majorHAnsi"/>
          <w:b w:val="0"/>
          <w:color w:val="173043" w:themeColor="accent1" w:themeShade="BF"/>
          <w:sz w:val="26"/>
          <w:lang w:eastAsia="fr-FR"/>
        </w:rPr>
        <w:t>Sélection des offres</w:t>
      </w:r>
    </w:p>
    <w:p w14:paraId="344A6EB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Une offre irrégulière ou inacceptable pourra devenir régulière ou acceptable au cours de la négociation, dans les conditions prévues à l’article R. 2152-1 du code de la commande publique. En revanche, une offre inappropriée au sens de l’article L. 2152-4 du même code est éliminée.</w:t>
      </w:r>
    </w:p>
    <w:p w14:paraId="268720C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Après négociation, une offre demeurant irrégulière au sens de l’article L. 2152-2 du code de la commande publique pourra être régularisée dans un délai approprié, dans les conditions de l’article R. 2152-2, à condition qu’elle ne soit pas anormalement basse. Cette régularisation ne saurait avoir pour effet de modifier des caractéristiques substantielles de l’offre.</w:t>
      </w:r>
    </w:p>
    <w:p w14:paraId="29013D26"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offres qui n’ont pas été éliminées sont examinées à partir des seuls renseignements et documents exigés dans le cadre de la présente consultation.</w:t>
      </w:r>
    </w:p>
    <w:p w14:paraId="2F939FE4"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Marché sera attribué à l’offre économiquement la plus avantageuse, appréciée au regard des critères pondérés suivants :</w:t>
      </w:r>
    </w:p>
    <w:p w14:paraId="4D69B370"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la valeur technique, pondérée à 70 % ;</w:t>
      </w:r>
    </w:p>
    <w:p w14:paraId="6B159FB5"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prix, pondéré à 30 %.</w:t>
      </w:r>
    </w:p>
    <w:p w14:paraId="379CE2A8" w14:textId="77777777" w:rsidR="00AC002F" w:rsidRDefault="00AC002F">
      <w:pPr>
        <w:pStyle w:val="Eximana"/>
        <w:numPr>
          <w:ilvl w:val="0"/>
          <w:numId w:val="0"/>
        </w:numPr>
        <w:spacing w:after="0"/>
        <w:ind w:left="720"/>
        <w:rPr>
          <w:rFonts w:ascii="Calibri" w:eastAsiaTheme="minorHAnsi" w:hAnsi="Calibri"/>
        </w:rPr>
      </w:pPr>
    </w:p>
    <w:p w14:paraId="18B02345" w14:textId="77777777" w:rsidR="00AC002F" w:rsidRDefault="00AC002F">
      <w:pPr>
        <w:spacing w:after="160"/>
        <w:rPr>
          <w:rFonts w:ascii="Calibri" w:eastAsia="Calibri" w:hAnsi="Calibri" w:cs="Calibri"/>
          <w:sz w:val="22"/>
          <w:lang w:eastAsia="fr-FR"/>
        </w:rPr>
      </w:pPr>
    </w:p>
    <w:p w14:paraId="3845D88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sous-critères composant la valeur technique, leur pondération respective ainsi que les modalités de mise en œuvre de l’ensemble des critères seront précisés, conformément à l’article R. 2152-11 du code de la commande publique, dans le règlement de la consultation et le cadre de réponse technique communiqués aux candidats sélectionnés lors de la phase offres.</w:t>
      </w:r>
    </w:p>
    <w:p w14:paraId="6A913B76"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6" w:name="__RefHeading___Toc941_4189789723"/>
      <w:bookmarkEnd w:id="36"/>
      <w:r>
        <w:rPr>
          <w:rFonts w:asciiTheme="majorHAnsi" w:hAnsiTheme="majorHAnsi"/>
          <w:b w:val="0"/>
          <w:color w:val="173043" w:themeColor="accent1" w:themeShade="BF"/>
          <w:sz w:val="26"/>
          <w:lang w:eastAsia="fr-FR"/>
        </w:rPr>
        <w:t>Audition et négociation</w:t>
      </w:r>
    </w:p>
    <w:p w14:paraId="60A31E71"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procédure avec négociation est mise en œuvre conformément aux articles L. 2124-3, R. 2124-3 et R. 2161-12 à R. 2161-20 du code de la commande publique.</w:t>
      </w:r>
    </w:p>
    <w:p w14:paraId="6CD3C99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Conformément à l’article R. 2161-17 du même code et ainsi qu’il est indiqué à l’article 2.4 du présent règlement, la CNCCFP se réserve la possibilité d’attribuer le Marché sur la base des offres initiales sans négociation.</w:t>
      </w:r>
    </w:p>
    <w:p w14:paraId="13E8847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Conformément à l’article R. 2161-18 du code de la commande publique, la CNCCFP se réserve également la possibilité de conduire la négociation en phases successives, afin de réduire le nombre d’offres à négocier en appliquant les critères d’attribution. Dans la phase finale de négociation, le nombre d’offres restant à négocier sera suffisant pour assurer une concurrence réelle, pour autant qu’il y ait un nombre suffisant d’offres remplissant les conditions requises.</w:t>
      </w:r>
    </w:p>
    <w:p w14:paraId="5A2E731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Dans l’hypothèse où des négociations sont organisées, les auditions auront lieu afin de permettre au candidat de présenter sa proposition, notamment les orientations de conception retenues et les modalités envisagées pour la recherche documentaire, de répondre aux questions de la Commission et d’entrer en phase de négociation.</w:t>
      </w:r>
    </w:p>
    <w:p w14:paraId="43030DFB"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invitations seront adressées par le biais de la plateforme de dématérialisation.</w:t>
      </w:r>
    </w:p>
    <w:p w14:paraId="673C25FB"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présentation faite lors de l’audition sera prise en compte dans le cadre de l’analyse de l’offre. L’absence d’un candidat à l’audition, lorsqu’elle lui est imputable, est susceptible d’être prise en compte dans l’analyse de son offre, dès lors que cette présentation constitue un élément d’appréciation de la valeur technique.</w:t>
      </w:r>
    </w:p>
    <w:p w14:paraId="0989F92F"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auditions se tiendront soit dans les locaux de la CNCCFP, soit par visioconférence. Le candidat doit s’assurer de disposer de tous les accès informatiques nécessaires à cette présentation.</w:t>
      </w:r>
    </w:p>
    <w:p w14:paraId="0D29423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auditions seront d’une durée identique pour chacun des candidats. Cette durée sera précisée dans le courrier de convocation. Tous les candidats seront entendus dans des conditions de stricte égalité de traitement.</w:t>
      </w:r>
    </w:p>
    <w:p w14:paraId="02DEE08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négociation pourra porter sur l’ensemble des éléments de l’offre, notamment le prix, la consistance et la qualité des prestations, les délais et les garanties de bonne exécution du Marché, sous les réserves énoncées à l’article 2.4 du présent règlement.</w:t>
      </w:r>
    </w:p>
    <w:p w14:paraId="3B59322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À l’issue des auditions et des négociations, les soumissionnaires sont invités à remettre une offre finale.</w:t>
      </w:r>
    </w:p>
    <w:p w14:paraId="67E5CD19"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37" w:name="__RefHeading___Toc943_4189789723"/>
      <w:bookmarkEnd w:id="37"/>
      <w:r>
        <w:rPr>
          <w:rFonts w:asciiTheme="majorHAnsi" w:hAnsiTheme="majorHAnsi"/>
          <w:b w:val="0"/>
          <w:caps w:val="0"/>
          <w:color w:val="173043" w:themeColor="accent1" w:themeShade="BF"/>
          <w:lang w:eastAsia="fr-FR"/>
        </w:rPr>
        <w:lastRenderedPageBreak/>
        <w:t>Attribution du Marché</w:t>
      </w:r>
    </w:p>
    <w:p w14:paraId="75FA1B22"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8" w:name="__RefHeading___Toc945_4189789723"/>
      <w:bookmarkEnd w:id="38"/>
      <w:r>
        <w:rPr>
          <w:rFonts w:asciiTheme="majorHAnsi" w:hAnsiTheme="majorHAnsi"/>
          <w:b w:val="0"/>
          <w:color w:val="173043" w:themeColor="accent1" w:themeShade="BF"/>
          <w:sz w:val="26"/>
          <w:lang w:eastAsia="fr-FR"/>
        </w:rPr>
        <w:t>Classement et documents à fournir</w:t>
      </w:r>
    </w:p>
    <w:p w14:paraId="16EFEC81"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offres font l’objet d’un classement en fonction de la note obtenue par chaque candidat au regard des critères pondérés énoncés à l’article 6.2 du présent règlement et précisés dans le règlement de la consultation de la phase offres.</w:t>
      </w:r>
    </w:p>
    <w:p w14:paraId="0D50BBC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soumissionnaire retenu est celui placé en tête du classement.</w:t>
      </w:r>
    </w:p>
    <w:p w14:paraId="6D415E0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soumissionnaire dont l’offre a été retenue ne peut être titulaire du Marché que s’il produit les certificats et attestations prévus à l’article R. 2143-7 du code de la commande publique. Conformément à l’article R. 2144-4 du même code, seul le candidat auquel il est envisagé d’attribuer le Marché est tenu de justifier qu’il ne relève pas d’un motif d’exclusion de la procédure.</w:t>
      </w:r>
    </w:p>
    <w:p w14:paraId="7FC0C8A5"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À ce titre, le pouvoir adjudicateur accepte comme justificatifs et moyens de preuve :</w:t>
      </w:r>
    </w:p>
    <w:p w14:paraId="21DE5243"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les certificats fiscaux et sociaux délivrés par les administrations et organismes compétents attestant qu’il ne se trouve pas dans le cas d’interdiction de soumissionner mentionné à l’article L. 2141-2 du code de la commande publique. Le candidat établi à l’étranger produit un certificat établi par les administrations et organismes de son pays d’origine ou d’établissement ;</w:t>
      </w:r>
    </w:p>
    <w:p w14:paraId="6906929A"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les pièces mentionnées aux articles D. 8222-5 ou D. 8222-7 ou D. 8254-2 à D. 8254-5 du code du travail. Ces pièces sont à produire tous les six mois jusqu’à la fin de l’exécution du Marché ;</w:t>
      </w:r>
    </w:p>
    <w:p w14:paraId="3C331BFA"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 extrait du registre pertinent, tel qu’un extrait K, un extrait K bis, un extrait D1 ou, à défaut, un document équivalent délivré par l’autorité judiciaire ou administrative compétente du pays d’origine ou d’établissement du candidat, attestant de l’absence de cas d’exclusion prévus au code de la commande publique ;</w:t>
      </w:r>
    </w:p>
    <w:p w14:paraId="0FC50D3B"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une déclaration sur l’honneur attestant qu’il ne se trouve pas dans un cas d’interdiction de soumissionner mentionné à l’article L. 2141-1 du code de la commande publique ;</w:t>
      </w:r>
    </w:p>
    <w:p w14:paraId="159947E2"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lorsque le candidat est en redressement judiciaire, la copie du ou des jugements prononcés.</w:t>
      </w:r>
    </w:p>
    <w:p w14:paraId="34676C77" w14:textId="77777777" w:rsidR="00AC002F" w:rsidRDefault="00AC002F">
      <w:pPr>
        <w:spacing w:after="160"/>
        <w:rPr>
          <w:rFonts w:ascii="Calibri" w:eastAsia="Calibri" w:hAnsi="Calibri" w:cs="Calibri"/>
          <w:sz w:val="22"/>
          <w:lang w:eastAsia="fr-FR"/>
        </w:rPr>
      </w:pPr>
    </w:p>
    <w:p w14:paraId="7EB8D004"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Lorsque les autorités compétentes du pays d’origine ou d’établissement du candidat ne délivrent pas les documents justificatifs équivalents ou lorsque ceux-ci ne mentionnent pas tous les cas d’interdiction de soumissionner, ils peuvent être remplacés par une déclaration sous serment ou, dans les pays où une telle procédure n’existe pas, par une déclaration solennelle faite par l’intéressé devant une autorité judiciaire ou administrative, un notaire ou un organisme professionnel qualifié de son pays d’origine ou d’établissement.</w:t>
      </w:r>
    </w:p>
    <w:p w14:paraId="131131E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Ces justificatifs devront être produits dans un délai de dix (10) jours à compter de la demande de la CNCCFP. À défaut, l’offre du candidat retenu sera rejetée et sa candidature écartée ; la CNCCFP retiendra alors le candidat ayant présenté l’offre classée immédiatement après au regard des critères de jugement.</w:t>
      </w:r>
    </w:p>
    <w:p w14:paraId="15B4158E"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 cas échéant, les justificatifs déjà produits par le candidat retenu à l’appui de sa candidature n’ont pas à être transmis à nouveau lors de l’attribution.</w:t>
      </w:r>
    </w:p>
    <w:p w14:paraId="38ABA9A0"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lastRenderedPageBreak/>
        <w:t>Les candidats ne sont pas tenus de fournir les documents justificatifs et moyens de preuve demandés ci-avant s’ils peuvent être obtenus directement par le biais d’un système électronique de mise à disposition d’informations administré par un organisme officiel ou d’un espace de stockage numérique, à condition qu’ils indiquent dans leur dossier de candidature toutes les informations nécessaires à la consultation de ce système ou de cet espace et que l’accès à ceux-ci soit gratuit.</w:t>
      </w:r>
    </w:p>
    <w:p w14:paraId="2C972C14"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L’attributaire devra également fournir l’acte d’engagement complété et signé par une personne habilitée à le représenter.</w:t>
      </w:r>
    </w:p>
    <w:p w14:paraId="3E82C3A6"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39" w:name="__RefHeading___Toc947_4189789723"/>
      <w:bookmarkEnd w:id="39"/>
      <w:r>
        <w:rPr>
          <w:rFonts w:asciiTheme="majorHAnsi" w:hAnsiTheme="majorHAnsi"/>
          <w:b w:val="0"/>
          <w:color w:val="173043" w:themeColor="accent1" w:themeShade="BF"/>
          <w:sz w:val="26"/>
          <w:lang w:eastAsia="fr-FR"/>
        </w:rPr>
        <w:t>Mise au point éventuelle</w:t>
      </w:r>
    </w:p>
    <w:p w14:paraId="39987C9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Avant la signature du Marché, le pouvoir adjudicateur est susceptible de procéder à une phase de mise au point du Marché avec le candidat retenu, en application de l’article R. 2152-13 du code de la commande publique. Cette mise au point peut, le cas échéant, venir ajuster des détails techniques du Marché préalablement à sa signature, sans pour autant modifier des caractéristiques substantielles de l’offre.</w:t>
      </w:r>
    </w:p>
    <w:p w14:paraId="29F16D8D" w14:textId="77777777" w:rsidR="00AC002F" w:rsidRDefault="008E60F0">
      <w:pPr>
        <w:pStyle w:val="Titre1"/>
        <w:pageBreakBefore w:val="0"/>
        <w:numPr>
          <w:ilvl w:val="0"/>
          <w:numId w:val="22"/>
        </w:numPr>
        <w:pBdr>
          <w:bottom w:val="nil"/>
        </w:pBdr>
        <w:spacing w:before="240" w:after="240"/>
        <w:jc w:val="both"/>
        <w:rPr>
          <w:rFonts w:asciiTheme="majorHAnsi" w:hAnsiTheme="majorHAnsi"/>
          <w:b w:val="0"/>
          <w:caps w:val="0"/>
          <w:color w:val="173043" w:themeColor="accent1" w:themeShade="BF"/>
          <w:lang w:eastAsia="fr-FR"/>
        </w:rPr>
      </w:pPr>
      <w:bookmarkStart w:id="40" w:name="__RefHeading___Toc949_4189789723"/>
      <w:bookmarkEnd w:id="40"/>
      <w:r>
        <w:rPr>
          <w:rFonts w:asciiTheme="majorHAnsi" w:hAnsiTheme="majorHAnsi"/>
          <w:b w:val="0"/>
          <w:caps w:val="0"/>
          <w:color w:val="173043" w:themeColor="accent1" w:themeShade="BF"/>
          <w:lang w:eastAsia="fr-FR"/>
        </w:rPr>
        <w:t>Règlement des litiges</w:t>
      </w:r>
    </w:p>
    <w:p w14:paraId="2E047DE2"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41" w:name="__RefHeading___Toc951_4189789723"/>
      <w:bookmarkEnd w:id="41"/>
      <w:r>
        <w:rPr>
          <w:rFonts w:asciiTheme="majorHAnsi" w:hAnsiTheme="majorHAnsi"/>
          <w:b w:val="0"/>
          <w:color w:val="173043" w:themeColor="accent1" w:themeShade="BF"/>
          <w:sz w:val="26"/>
          <w:lang w:eastAsia="fr-FR"/>
        </w:rPr>
        <w:t>Médiation</w:t>
      </w:r>
    </w:p>
    <w:p w14:paraId="7D5E21C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La CNCCFP s’efforcera de régler à l’amiable tout différend éventuel relatif à cette procédure.</w:t>
      </w:r>
    </w:p>
    <w:p w14:paraId="1F422DCD"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42" w:name="__RefHeading___Toc953_4189789723"/>
      <w:bookmarkEnd w:id="42"/>
      <w:r>
        <w:rPr>
          <w:rFonts w:asciiTheme="majorHAnsi" w:hAnsiTheme="majorHAnsi"/>
          <w:b w:val="0"/>
          <w:color w:val="173043" w:themeColor="accent1" w:themeShade="BF"/>
          <w:sz w:val="26"/>
          <w:lang w:eastAsia="fr-FR"/>
        </w:rPr>
        <w:t>Contentieux</w:t>
      </w:r>
    </w:p>
    <w:p w14:paraId="48E3E3F8"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Dans le cas où un règlement amiable des différends ou litiges susceptibles d’intervenir ne serait pas possible, le tribunal administratif compétent est celui dans le ressort duquel se trouve le siège de la CNCCFP, à savoir :</w:t>
      </w:r>
    </w:p>
    <w:p w14:paraId="69AD7A68"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Tribunal administratif de Paris</w:t>
      </w:r>
    </w:p>
    <w:p w14:paraId="3F3DD567"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7 rue de Jouy</w:t>
      </w:r>
    </w:p>
    <w:p w14:paraId="4230A04B"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75181 Paris Cedex 04</w:t>
      </w:r>
    </w:p>
    <w:p w14:paraId="5E8228D9" w14:textId="77777777" w:rsidR="00AC002F" w:rsidRDefault="008E60F0">
      <w:pPr>
        <w:pStyle w:val="Titre2"/>
        <w:numPr>
          <w:ilvl w:val="1"/>
          <w:numId w:val="22"/>
        </w:numPr>
        <w:jc w:val="both"/>
        <w:rPr>
          <w:rFonts w:asciiTheme="majorHAnsi" w:hAnsiTheme="majorHAnsi"/>
          <w:b w:val="0"/>
          <w:color w:val="173043" w:themeColor="accent1" w:themeShade="BF"/>
          <w:sz w:val="26"/>
          <w:lang w:eastAsia="fr-FR"/>
        </w:rPr>
      </w:pPr>
      <w:bookmarkStart w:id="43" w:name="__RefHeading___Toc955_4189789723"/>
      <w:bookmarkEnd w:id="43"/>
      <w:r>
        <w:rPr>
          <w:rFonts w:asciiTheme="majorHAnsi" w:hAnsiTheme="majorHAnsi"/>
          <w:b w:val="0"/>
          <w:color w:val="173043" w:themeColor="accent1" w:themeShade="BF"/>
          <w:sz w:val="26"/>
          <w:lang w:eastAsia="fr-FR"/>
        </w:rPr>
        <w:t>Délais et voies de recours</w:t>
      </w:r>
    </w:p>
    <w:p w14:paraId="4265F13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recours ouverts aux candidats sont les suivants :</w:t>
      </w:r>
    </w:p>
    <w:p w14:paraId="5BE473EB"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référé précontractuel prévu aux articles L. 551-1 à L. 551-12 du code de justice administrative (CJA), pouvant être exercé avant la signature du contrat ;</w:t>
      </w:r>
    </w:p>
    <w:p w14:paraId="663FF881"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le référé contractuel prévu aux articles L. 551-13 à L. 551-23 du CJA, pouvant être exercé après la signature du contrat dans les délais propres à ce recours, prévus à l’article R. 551-7 du même code ;</w:t>
      </w:r>
    </w:p>
    <w:p w14:paraId="3F2D498D" w14:textId="77777777" w:rsidR="00AC002F" w:rsidRDefault="008E60F0">
      <w:pPr>
        <w:pStyle w:val="Eximana"/>
        <w:numPr>
          <w:ilvl w:val="0"/>
          <w:numId w:val="23"/>
        </w:numPr>
        <w:spacing w:after="0"/>
        <w:rPr>
          <w:rFonts w:ascii="Calibri" w:eastAsiaTheme="minorHAnsi" w:hAnsi="Calibri"/>
        </w:rPr>
      </w:pPr>
      <w:r>
        <w:rPr>
          <w:rFonts w:ascii="Calibri" w:eastAsiaTheme="minorHAnsi" w:hAnsi="Calibri"/>
        </w:rPr>
        <w:t xml:space="preserve">le recours en contestation de la validité du contrat, issu de la jurisprudence du Conseil d’État dite « Tarn-et-Garonne » (CE, ass., 4 avril 2014, n° 358994), pouvant être exercé par les tiers susceptibles d’être lésés dans leurs intérêts de façon suffisamment directe et certaine, dans </w:t>
      </w:r>
      <w:r>
        <w:rPr>
          <w:rFonts w:ascii="Calibri" w:eastAsiaTheme="minorHAnsi" w:hAnsi="Calibri"/>
        </w:rPr>
        <w:lastRenderedPageBreak/>
        <w:t>un délai raisonnable apprécié par le juge, à compter de l’accomplissement des mesures de publicité appropriées.</w:t>
      </w:r>
    </w:p>
    <w:p w14:paraId="476B7426" w14:textId="77777777" w:rsidR="00AC002F" w:rsidRDefault="00AC002F">
      <w:pPr>
        <w:spacing w:after="160"/>
        <w:rPr>
          <w:rFonts w:ascii="Calibri" w:eastAsia="Calibri" w:hAnsi="Calibri" w:cs="Calibri"/>
          <w:sz w:val="22"/>
          <w:lang w:eastAsia="fr-FR"/>
        </w:rPr>
      </w:pPr>
    </w:p>
    <w:p w14:paraId="0053AC0D"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Les renseignements relatifs aux délais et voies de recours peuvent être obtenus au greffe du tribunal administratif de Paris, dont l’adresse figure à l’article 8.2 du présent règlement :</w:t>
      </w:r>
    </w:p>
    <w:p w14:paraId="24FC24D3"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Téléphone : 01 44 59 44 00</w:t>
      </w:r>
    </w:p>
    <w:p w14:paraId="781D6BAC" w14:textId="77777777" w:rsidR="00AC002F" w:rsidRDefault="008E60F0">
      <w:pPr>
        <w:spacing w:after="160"/>
        <w:rPr>
          <w:rFonts w:ascii="Calibri" w:eastAsia="Calibri" w:hAnsi="Calibri" w:cs="Calibri"/>
          <w:sz w:val="22"/>
          <w:lang w:eastAsia="fr-FR"/>
        </w:rPr>
      </w:pPr>
      <w:r>
        <w:rPr>
          <w:rFonts w:ascii="Calibri" w:eastAsia="Calibri" w:hAnsi="Calibri" w:cs="Calibri"/>
          <w:sz w:val="22"/>
          <w:lang w:eastAsia="fr-FR"/>
        </w:rPr>
        <w:t>Courriel : greffe.ta-paris@juradm.fr</w:t>
      </w:r>
    </w:p>
    <w:sectPr w:rsidR="00AC002F">
      <w:headerReference w:type="default" r:id="rId12"/>
      <w:footerReference w:type="default" r:id="rId13"/>
      <w:pgSz w:w="11906" w:h="16838"/>
      <w:pgMar w:top="1418" w:right="1418" w:bottom="1701" w:left="1418" w:header="709"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D715" w14:textId="77777777" w:rsidR="00FB5DCC" w:rsidRDefault="008E60F0">
      <w:pPr>
        <w:spacing w:after="0" w:line="240" w:lineRule="auto"/>
      </w:pPr>
      <w:r>
        <w:separator/>
      </w:r>
    </w:p>
  </w:endnote>
  <w:endnote w:type="continuationSeparator" w:id="0">
    <w:p w14:paraId="417D3F27" w14:textId="77777777" w:rsidR="00FB5DCC" w:rsidRDefault="008E6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DejaVu Sans">
    <w:panose1 w:val="00000000000000000000"/>
    <w:charset w:val="00"/>
    <w:family w:val="roman"/>
    <w:notTrueType/>
    <w:pitch w:val="default"/>
  </w:font>
  <w:font w:name="Minion Pro">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975530"/>
      <w:docPartObj>
        <w:docPartGallery w:val="Page Numbers (Bottom of Page)"/>
        <w:docPartUnique/>
      </w:docPartObj>
    </w:sdtPr>
    <w:sdtEndPr/>
    <w:sdtContent>
      <w:p w14:paraId="3163B7D8" w14:textId="77777777" w:rsidR="00AC002F" w:rsidRDefault="008E60F0">
        <w:pPr>
          <w:pStyle w:val="Pieddepage"/>
          <w:jc w:val="right"/>
        </w:pPr>
        <w:r>
          <w:fldChar w:fldCharType="begin"/>
        </w:r>
        <w:r>
          <w:instrText xml:space="preserve"> PAGE </w:instrText>
        </w:r>
        <w:r>
          <w:fldChar w:fldCharType="separate"/>
        </w:r>
        <w:r>
          <w:t>18</w:t>
        </w:r>
        <w:r>
          <w:fldChar w:fldCharType="end"/>
        </w:r>
      </w:p>
    </w:sdtContent>
  </w:sdt>
  <w:p w14:paraId="5990ACA3" w14:textId="746F135E" w:rsidR="00AC002F" w:rsidRDefault="008E60F0">
    <w:pPr>
      <w:pStyle w:val="Pieddepage"/>
    </w:pPr>
    <w:r>
      <w:t>RC/</w:t>
    </w:r>
    <w:r w:rsidR="00AE5915" w:rsidRPr="00AE5915">
      <w:t>CNCCFP-Site-internet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9C43" w14:textId="77777777" w:rsidR="00FB5DCC" w:rsidRDefault="008E60F0">
      <w:pPr>
        <w:spacing w:after="0" w:line="240" w:lineRule="auto"/>
      </w:pPr>
      <w:r>
        <w:separator/>
      </w:r>
    </w:p>
  </w:footnote>
  <w:footnote w:type="continuationSeparator" w:id="0">
    <w:p w14:paraId="59329B7A" w14:textId="77777777" w:rsidR="00FB5DCC" w:rsidRDefault="008E6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2" w:type="dxa"/>
      <w:tblInd w:w="108" w:type="dxa"/>
      <w:tblLayout w:type="fixed"/>
      <w:tblLook w:val="0400" w:firstRow="0" w:lastRow="0" w:firstColumn="0" w:lastColumn="0" w:noHBand="0" w:noVBand="1"/>
    </w:tblPr>
    <w:tblGrid>
      <w:gridCol w:w="1416"/>
      <w:gridCol w:w="6376"/>
      <w:gridCol w:w="1270"/>
    </w:tblGrid>
    <w:tr w:rsidR="00AC002F" w14:paraId="1D8FE882" w14:textId="77777777">
      <w:tc>
        <w:tcPr>
          <w:tcW w:w="1416" w:type="dxa"/>
        </w:tcPr>
        <w:p w14:paraId="603A3A0E" w14:textId="77777777" w:rsidR="00AC002F" w:rsidRDefault="008E60F0">
          <w:pPr>
            <w:tabs>
              <w:tab w:val="center" w:pos="4536"/>
              <w:tab w:val="right" w:pos="9072"/>
            </w:tabs>
            <w:jc w:val="center"/>
            <w:rPr>
              <w:color w:val="000000"/>
            </w:rPr>
          </w:pPr>
          <w:r>
            <w:rPr>
              <w:noProof/>
            </w:rPr>
            <w:drawing>
              <wp:inline distT="0" distB="0" distL="0" distR="0" wp14:anchorId="01C3DFD4" wp14:editId="526E74AC">
                <wp:extent cx="788670" cy="316230"/>
                <wp:effectExtent l="0" t="0" r="0"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pic:cNvPicPr>
                          <a:picLocks noChangeAspect="1" noChangeArrowheads="1"/>
                        </pic:cNvPicPr>
                      </pic:nvPicPr>
                      <pic:blipFill>
                        <a:blip r:embed="rId1"/>
                        <a:stretch>
                          <a:fillRect/>
                        </a:stretch>
                      </pic:blipFill>
                      <pic:spPr bwMode="auto">
                        <a:xfrm>
                          <a:off x="0" y="0"/>
                          <a:ext cx="788670" cy="316230"/>
                        </a:xfrm>
                        <a:prstGeom prst="rect">
                          <a:avLst/>
                        </a:prstGeom>
                        <a:noFill/>
                      </pic:spPr>
                    </pic:pic>
                  </a:graphicData>
                </a:graphic>
              </wp:inline>
            </w:drawing>
          </w:r>
        </w:p>
      </w:tc>
      <w:tc>
        <w:tcPr>
          <w:tcW w:w="6376" w:type="dxa"/>
        </w:tcPr>
        <w:p w14:paraId="34D22572" w14:textId="77777777" w:rsidR="00AC002F" w:rsidRDefault="008E60F0">
          <w:pPr>
            <w:tabs>
              <w:tab w:val="center" w:pos="4536"/>
              <w:tab w:val="right" w:pos="9072"/>
            </w:tabs>
            <w:jc w:val="center"/>
            <w:rPr>
              <w:color w:val="000000"/>
            </w:rPr>
          </w:pPr>
          <w:r>
            <w:rPr>
              <w:color w:val="000000"/>
            </w:rPr>
            <w:t>Marché de conception, réalisation, maintenance et évolution du site internet de la CNCCFP.</w:t>
          </w:r>
        </w:p>
      </w:tc>
      <w:tc>
        <w:tcPr>
          <w:tcW w:w="1270" w:type="dxa"/>
        </w:tcPr>
        <w:p w14:paraId="7CF351A4" w14:textId="77777777" w:rsidR="00AC002F" w:rsidRDefault="00AC002F">
          <w:pPr>
            <w:rPr>
              <w:color w:val="000000"/>
            </w:rPr>
          </w:pPr>
        </w:p>
      </w:tc>
    </w:tr>
  </w:tbl>
  <w:p w14:paraId="34D7744E" w14:textId="77777777" w:rsidR="00AC002F" w:rsidRDefault="00AC002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8F9"/>
    <w:multiLevelType w:val="multilevel"/>
    <w:tmpl w:val="CCB251D0"/>
    <w:lvl w:ilvl="0">
      <w:start w:val="1"/>
      <w:numFmt w:val="bullet"/>
      <w:pStyle w:val="Listepuc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511E1C"/>
    <w:multiLevelType w:val="multilevel"/>
    <w:tmpl w:val="B7085F12"/>
    <w:lvl w:ilvl="0">
      <w:start w:val="1"/>
      <w:numFmt w:val="lowerLetter"/>
      <w:pStyle w:val="Titre8"/>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3EC20BF"/>
    <w:multiLevelType w:val="multilevel"/>
    <w:tmpl w:val="FA64666C"/>
    <w:lvl w:ilvl="0">
      <w:start w:val="1"/>
      <w:numFmt w:val="decimal"/>
      <w:pStyle w:val="Eximana"/>
      <w:lvlText w:val="{STB_SYS_%10}"/>
      <w:lvlJc w:val="left"/>
      <w:pPr>
        <w:tabs>
          <w:tab w:val="num" w:pos="0"/>
        </w:tabs>
        <w:ind w:left="928" w:hanging="360"/>
      </w:pPr>
      <w:rPr>
        <w:b/>
        <w:i w:val="0"/>
        <w:color w:val="000080"/>
        <w:sz w:val="22"/>
        <w:szCs w:val="22"/>
      </w:rPr>
    </w:lvl>
    <w:lvl w:ilvl="1">
      <w:start w:val="1"/>
      <w:numFmt w:val="lowerLetter"/>
      <w:lvlText w:val="%2."/>
      <w:lvlJc w:val="left"/>
      <w:pPr>
        <w:tabs>
          <w:tab w:val="num" w:pos="0"/>
        </w:tabs>
        <w:ind w:left="-1395" w:hanging="360"/>
      </w:pPr>
    </w:lvl>
    <w:lvl w:ilvl="2">
      <w:numFmt w:val="bullet"/>
      <w:lvlText w:val="-"/>
      <w:lvlJc w:val="left"/>
      <w:pPr>
        <w:tabs>
          <w:tab w:val="num" w:pos="0"/>
        </w:tabs>
        <w:ind w:left="-495" w:hanging="360"/>
      </w:pPr>
      <w:rPr>
        <w:rFonts w:ascii="Times New Roman" w:hAnsi="Times New Roman" w:cs="Times New Roman" w:hint="default"/>
      </w:rPr>
    </w:lvl>
    <w:lvl w:ilvl="3">
      <w:start w:val="1"/>
      <w:numFmt w:val="decimal"/>
      <w:lvlText w:val="%4."/>
      <w:lvlJc w:val="left"/>
      <w:pPr>
        <w:tabs>
          <w:tab w:val="num" w:pos="45"/>
        </w:tabs>
        <w:ind w:left="45" w:hanging="360"/>
      </w:pPr>
    </w:lvl>
    <w:lvl w:ilvl="4">
      <w:start w:val="1"/>
      <w:numFmt w:val="lowerLetter"/>
      <w:lvlText w:val="%5."/>
      <w:lvlJc w:val="left"/>
      <w:pPr>
        <w:tabs>
          <w:tab w:val="num" w:pos="765"/>
        </w:tabs>
        <w:ind w:left="765" w:hanging="360"/>
      </w:pPr>
    </w:lvl>
    <w:lvl w:ilvl="5">
      <w:start w:val="1"/>
      <w:numFmt w:val="lowerRoman"/>
      <w:lvlText w:val="%6."/>
      <w:lvlJc w:val="right"/>
      <w:pPr>
        <w:tabs>
          <w:tab w:val="num" w:pos="1485"/>
        </w:tabs>
        <w:ind w:left="1485" w:hanging="180"/>
      </w:pPr>
    </w:lvl>
    <w:lvl w:ilvl="6">
      <w:start w:val="1"/>
      <w:numFmt w:val="decimal"/>
      <w:lvlText w:val="%7."/>
      <w:lvlJc w:val="left"/>
      <w:pPr>
        <w:tabs>
          <w:tab w:val="num" w:pos="2205"/>
        </w:tabs>
        <w:ind w:left="2205" w:hanging="360"/>
      </w:pPr>
    </w:lvl>
    <w:lvl w:ilvl="7">
      <w:start w:val="1"/>
      <w:numFmt w:val="lowerLetter"/>
      <w:lvlText w:val="%8."/>
      <w:lvlJc w:val="left"/>
      <w:pPr>
        <w:tabs>
          <w:tab w:val="num" w:pos="2925"/>
        </w:tabs>
        <w:ind w:left="2925" w:hanging="360"/>
      </w:pPr>
    </w:lvl>
    <w:lvl w:ilvl="8">
      <w:start w:val="1"/>
      <w:numFmt w:val="lowerRoman"/>
      <w:lvlText w:val="%9."/>
      <w:lvlJc w:val="right"/>
      <w:pPr>
        <w:tabs>
          <w:tab w:val="num" w:pos="3645"/>
        </w:tabs>
        <w:ind w:left="3645" w:hanging="180"/>
      </w:pPr>
    </w:lvl>
  </w:abstractNum>
  <w:abstractNum w:abstractNumId="3" w15:restartNumberingAfterBreak="0">
    <w:nsid w:val="0AC4216E"/>
    <w:multiLevelType w:val="multilevel"/>
    <w:tmpl w:val="86469ED0"/>
    <w:lvl w:ilvl="0">
      <w:start w:val="1"/>
      <w:numFmt w:val="bullet"/>
      <w:pStyle w:val="Enum1"/>
      <w:lvlText w:val=""/>
      <w:lvlJc w:val="left"/>
      <w:pPr>
        <w:tabs>
          <w:tab w:val="num" w:pos="1778"/>
        </w:tabs>
        <w:ind w:left="1778" w:hanging="360"/>
      </w:pPr>
      <w:rPr>
        <w:rFonts w:ascii="Webdings" w:hAnsi="Webdings" w:cs="Web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209470A"/>
    <w:multiLevelType w:val="multilevel"/>
    <w:tmpl w:val="20720C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26F1CB0"/>
    <w:multiLevelType w:val="multilevel"/>
    <w:tmpl w:val="6A00EF96"/>
    <w:lvl w:ilvl="0">
      <w:start w:val="1"/>
      <w:numFmt w:val="decimal"/>
      <w:pStyle w:val="GEN"/>
      <w:lvlText w:val="-%1."/>
      <w:lvlJc w:val="left"/>
      <w:pPr>
        <w:tabs>
          <w:tab w:val="num" w:pos="0"/>
        </w:tabs>
        <w:ind w:left="360" w:hanging="360"/>
      </w:pPr>
      <w:rPr>
        <w:b w:val="0"/>
        <w:bCs w:val="0"/>
        <w:i w:val="0"/>
        <w:iCs w:val="0"/>
        <w:caps w:val="0"/>
        <w:smallCaps w:val="0"/>
        <w:strike w:val="0"/>
        <w:dstrike w:val="0"/>
        <w:outline w:val="0"/>
        <w:shadow w:val="0"/>
        <w:emboss w:val="0"/>
        <w:imprint w:val="0"/>
        <w:vanish w:val="0"/>
        <w:spacing w:val="0"/>
        <w:kern w:val="0"/>
        <w:position w:val="0"/>
        <w:sz w:val="22"/>
        <w:u w:val="none"/>
        <w:effect w:val="none"/>
        <w:vertAlign w:val="baseline"/>
        <w:em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39C04B54"/>
    <w:multiLevelType w:val="multilevel"/>
    <w:tmpl w:val="1ADE1CB8"/>
    <w:lvl w:ilvl="0">
      <w:start w:val="1"/>
      <w:numFmt w:val="decimal"/>
      <w:lvlText w:val="%1."/>
      <w:lvlJc w:val="left"/>
      <w:pPr>
        <w:tabs>
          <w:tab w:val="num" w:pos="0"/>
        </w:tabs>
        <w:ind w:left="993" w:hanging="851"/>
      </w:pPr>
      <w:rPr>
        <w:rFonts w:ascii="Arial" w:hAnsi="Arial"/>
        <w:b/>
        <w:i w:val="0"/>
        <w:color w:val="0C283C"/>
        <w:sz w:val="42"/>
      </w:rPr>
    </w:lvl>
    <w:lvl w:ilvl="1">
      <w:start w:val="1"/>
      <w:numFmt w:val="decimal"/>
      <w:lvlText w:val="%1.%2."/>
      <w:lvlJc w:val="left"/>
      <w:pPr>
        <w:tabs>
          <w:tab w:val="num" w:pos="0"/>
        </w:tabs>
        <w:ind w:left="851" w:hanging="851"/>
      </w:pPr>
      <w:rPr>
        <w:rFonts w:ascii="Arial" w:hAnsi="Arial"/>
        <w:b/>
        <w:i w:val="0"/>
        <w:sz w:val="30"/>
      </w:rPr>
    </w:lvl>
    <w:lvl w:ilvl="2">
      <w:start w:val="1"/>
      <w:numFmt w:val="decimal"/>
      <w:pStyle w:val="Titre3"/>
      <w:lvlText w:val="%1.%2.%3."/>
      <w:lvlJc w:val="left"/>
      <w:pPr>
        <w:tabs>
          <w:tab w:val="num" w:pos="0"/>
        </w:tabs>
        <w:ind w:left="851" w:hanging="851"/>
      </w:pPr>
      <w:rPr>
        <w:rFonts w:ascii="Arial" w:hAnsi="Arial"/>
        <w:b/>
        <w:i w:val="0"/>
        <w:sz w:val="24"/>
      </w:rPr>
    </w:lvl>
    <w:lvl w:ilvl="3">
      <w:start w:val="1"/>
      <w:numFmt w:val="decimal"/>
      <w:pStyle w:val="Titre4"/>
      <w:lvlText w:val="%1.%2.%3.%4"/>
      <w:lvlJc w:val="left"/>
      <w:pPr>
        <w:tabs>
          <w:tab w:val="num" w:pos="851"/>
        </w:tabs>
        <w:ind w:left="851" w:hanging="851"/>
      </w:pPr>
    </w:lvl>
    <w:lvl w:ilvl="4">
      <w:start w:val="1"/>
      <w:numFmt w:val="decimal"/>
      <w:pStyle w:val="Titre5"/>
      <w:lvlText w:val="%1.%2.%3.%4.%5"/>
      <w:lvlJc w:val="left"/>
      <w:pPr>
        <w:tabs>
          <w:tab w:val="num" w:pos="1418"/>
        </w:tabs>
        <w:ind w:left="1418" w:hanging="851"/>
      </w:pPr>
    </w:lvl>
    <w:lvl w:ilvl="5">
      <w:start w:val="1"/>
      <w:numFmt w:val="bullet"/>
      <w:lvlText w:val=""/>
      <w:lvlJc w:val="left"/>
      <w:pPr>
        <w:tabs>
          <w:tab w:val="num" w:pos="1418"/>
        </w:tabs>
        <w:ind w:left="1418" w:hanging="567"/>
      </w:pPr>
      <w:rPr>
        <w:rFonts w:ascii="Wingdings" w:hAnsi="Wingdings" w:cs="Wingdings" w:hint="default"/>
        <w:color w:val="00A194"/>
      </w:rPr>
    </w:lvl>
    <w:lvl w:ilvl="6">
      <w:start w:val="1"/>
      <w:numFmt w:val="bullet"/>
      <w:lvlText w:val=""/>
      <w:lvlJc w:val="left"/>
      <w:pPr>
        <w:tabs>
          <w:tab w:val="num" w:pos="1418"/>
        </w:tabs>
        <w:ind w:left="1418" w:hanging="567"/>
      </w:pPr>
      <w:rPr>
        <w:rFonts w:ascii="Symbol" w:hAnsi="Symbol" w:cs="Symbol" w:hint="default"/>
      </w:rPr>
    </w:lvl>
    <w:lvl w:ilvl="7">
      <w:start w:val="1"/>
      <w:numFmt w:val="bullet"/>
      <w:lvlText w:val=""/>
      <w:lvlJc w:val="left"/>
      <w:pPr>
        <w:tabs>
          <w:tab w:val="num" w:pos="1985"/>
        </w:tabs>
        <w:ind w:left="1985" w:hanging="567"/>
      </w:pPr>
      <w:rPr>
        <w:rFonts w:ascii="Symbol" w:hAnsi="Symbol" w:cs="Symbol" w:hint="default"/>
      </w:rPr>
    </w:lvl>
    <w:lvl w:ilvl="8">
      <w:start w:val="1"/>
      <w:numFmt w:val="bullet"/>
      <w:lvlText w:val=""/>
      <w:lvlJc w:val="left"/>
      <w:pPr>
        <w:tabs>
          <w:tab w:val="num" w:pos="1985"/>
        </w:tabs>
        <w:ind w:left="1985" w:hanging="567"/>
      </w:pPr>
      <w:rPr>
        <w:rFonts w:ascii="Symbol" w:hAnsi="Symbol" w:cs="Symbol" w:hint="default"/>
      </w:rPr>
    </w:lvl>
  </w:abstractNum>
  <w:abstractNum w:abstractNumId="7" w15:restartNumberingAfterBreak="0">
    <w:nsid w:val="3E58732F"/>
    <w:multiLevelType w:val="multilevel"/>
    <w:tmpl w:val="4A26FCF6"/>
    <w:lvl w:ilvl="0">
      <w:start w:val="1"/>
      <w:numFmt w:val="bullet"/>
      <w:pStyle w:val="Listepuces4"/>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417C6E23"/>
    <w:multiLevelType w:val="multilevel"/>
    <w:tmpl w:val="E82473DE"/>
    <w:lvl w:ilvl="0">
      <w:start w:val="1"/>
      <w:numFmt w:val="decimal"/>
      <w:pStyle w:val="Numero"/>
      <w:lvlText w:val="%1."/>
      <w:lvlJc w:val="left"/>
      <w:pPr>
        <w:tabs>
          <w:tab w:val="num" w:pos="360"/>
        </w:tabs>
        <w:ind w:left="360" w:hanging="360"/>
      </w:pPr>
    </w:lvl>
    <w:lvl w:ilvl="1">
      <w:start w:val="1"/>
      <w:numFmt w:val="bullet"/>
      <w:lvlText w:val="o"/>
      <w:lvlJc w:val="left"/>
      <w:pPr>
        <w:tabs>
          <w:tab w:val="num" w:pos="0"/>
        </w:tabs>
        <w:ind w:left="-62" w:hanging="360"/>
      </w:pPr>
      <w:rPr>
        <w:rFonts w:ascii="Courier New" w:hAnsi="Courier New" w:cs="Courier New" w:hint="default"/>
      </w:rPr>
    </w:lvl>
    <w:lvl w:ilvl="2">
      <w:start w:val="1"/>
      <w:numFmt w:val="bullet"/>
      <w:lvlText w:val=""/>
      <w:lvlJc w:val="left"/>
      <w:pPr>
        <w:tabs>
          <w:tab w:val="num" w:pos="658"/>
        </w:tabs>
        <w:ind w:left="658" w:hanging="360"/>
      </w:pPr>
      <w:rPr>
        <w:rFonts w:ascii="Wingdings" w:hAnsi="Wingdings" w:cs="Wingdings" w:hint="default"/>
      </w:rPr>
    </w:lvl>
    <w:lvl w:ilvl="3">
      <w:start w:val="1"/>
      <w:numFmt w:val="bullet"/>
      <w:lvlText w:val=""/>
      <w:lvlJc w:val="left"/>
      <w:pPr>
        <w:tabs>
          <w:tab w:val="num" w:pos="1378"/>
        </w:tabs>
        <w:ind w:left="1378" w:hanging="360"/>
      </w:pPr>
      <w:rPr>
        <w:rFonts w:ascii="Symbol" w:hAnsi="Symbol" w:cs="Symbol" w:hint="default"/>
      </w:rPr>
    </w:lvl>
    <w:lvl w:ilvl="4">
      <w:start w:val="1"/>
      <w:numFmt w:val="bullet"/>
      <w:lvlText w:val="o"/>
      <w:lvlJc w:val="left"/>
      <w:pPr>
        <w:tabs>
          <w:tab w:val="num" w:pos="2098"/>
        </w:tabs>
        <w:ind w:left="2098" w:hanging="360"/>
      </w:pPr>
      <w:rPr>
        <w:rFonts w:ascii="Courier New" w:hAnsi="Courier New" w:cs="Courier New" w:hint="default"/>
      </w:rPr>
    </w:lvl>
    <w:lvl w:ilvl="5">
      <w:start w:val="1"/>
      <w:numFmt w:val="bullet"/>
      <w:lvlText w:val=""/>
      <w:lvlJc w:val="left"/>
      <w:pPr>
        <w:tabs>
          <w:tab w:val="num" w:pos="2818"/>
        </w:tabs>
        <w:ind w:left="2818" w:hanging="360"/>
      </w:pPr>
      <w:rPr>
        <w:rFonts w:ascii="Wingdings" w:hAnsi="Wingdings" w:cs="Wingdings" w:hint="default"/>
      </w:rPr>
    </w:lvl>
    <w:lvl w:ilvl="6">
      <w:start w:val="1"/>
      <w:numFmt w:val="bullet"/>
      <w:lvlText w:val=""/>
      <w:lvlJc w:val="left"/>
      <w:pPr>
        <w:tabs>
          <w:tab w:val="num" w:pos="3538"/>
        </w:tabs>
        <w:ind w:left="3538" w:hanging="360"/>
      </w:pPr>
      <w:rPr>
        <w:rFonts w:ascii="Symbol" w:hAnsi="Symbol" w:cs="Symbol" w:hint="default"/>
      </w:rPr>
    </w:lvl>
    <w:lvl w:ilvl="7">
      <w:start w:val="1"/>
      <w:numFmt w:val="bullet"/>
      <w:lvlText w:val="o"/>
      <w:lvlJc w:val="left"/>
      <w:pPr>
        <w:tabs>
          <w:tab w:val="num" w:pos="4258"/>
        </w:tabs>
        <w:ind w:left="4258" w:hanging="360"/>
      </w:pPr>
      <w:rPr>
        <w:rFonts w:ascii="Courier New" w:hAnsi="Courier New" w:cs="Courier New" w:hint="default"/>
      </w:rPr>
    </w:lvl>
    <w:lvl w:ilvl="8">
      <w:start w:val="1"/>
      <w:numFmt w:val="bullet"/>
      <w:lvlText w:val=""/>
      <w:lvlJc w:val="left"/>
      <w:pPr>
        <w:tabs>
          <w:tab w:val="num" w:pos="4978"/>
        </w:tabs>
        <w:ind w:left="4978" w:hanging="360"/>
      </w:pPr>
      <w:rPr>
        <w:rFonts w:ascii="Wingdings" w:hAnsi="Wingdings" w:cs="Wingdings" w:hint="default"/>
      </w:rPr>
    </w:lvl>
  </w:abstractNum>
  <w:abstractNum w:abstractNumId="9" w15:restartNumberingAfterBreak="0">
    <w:nsid w:val="4774786C"/>
    <w:multiLevelType w:val="multilevel"/>
    <w:tmpl w:val="1446FDB8"/>
    <w:lvl w:ilvl="0">
      <w:start w:val="1"/>
      <w:numFmt w:val="decimalZero"/>
      <w:pStyle w:val="P101-E"/>
      <w:lvlText w:val="P10.2-E%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8E95678"/>
    <w:multiLevelType w:val="multilevel"/>
    <w:tmpl w:val="199E3D4C"/>
    <w:lvl w:ilvl="0">
      <w:start w:val="1"/>
      <w:numFmt w:val="bullet"/>
      <w:pStyle w:val="Listepuces3"/>
      <w:lvlText w:val=""/>
      <w:lvlJc w:val="left"/>
      <w:pPr>
        <w:tabs>
          <w:tab w:val="num" w:pos="0"/>
        </w:tabs>
        <w:ind w:left="1296" w:hanging="360"/>
      </w:pPr>
      <w:rPr>
        <w:rFonts w:ascii="Wingdings 2" w:hAnsi="Wingdings 2" w:cs="Wingdings 2" w:hint="default"/>
        <w:b w:val="0"/>
        <w:i w:val="0"/>
        <w:color w:val="1F415A" w:themeColor="accent1"/>
        <w:sz w:val="28"/>
        <w:u w:val="none" w:color="FFFFFF" w:themeColor="light1"/>
      </w:rPr>
    </w:lvl>
    <w:lvl w:ilvl="1">
      <w:start w:val="1"/>
      <w:numFmt w:val="bullet"/>
      <w:lvlText w:val="o"/>
      <w:lvlJc w:val="left"/>
      <w:pPr>
        <w:tabs>
          <w:tab w:val="num" w:pos="0"/>
        </w:tabs>
        <w:ind w:left="3425" w:hanging="360"/>
      </w:pPr>
      <w:rPr>
        <w:rFonts w:ascii="Courier New" w:hAnsi="Courier New" w:cs="Courier New" w:hint="default"/>
      </w:rPr>
    </w:lvl>
    <w:lvl w:ilvl="2">
      <w:start w:val="1"/>
      <w:numFmt w:val="bullet"/>
      <w:lvlText w:val=""/>
      <w:lvlJc w:val="left"/>
      <w:pPr>
        <w:tabs>
          <w:tab w:val="num" w:pos="0"/>
        </w:tabs>
        <w:ind w:left="4145" w:hanging="360"/>
      </w:pPr>
      <w:rPr>
        <w:rFonts w:ascii="Wingdings" w:hAnsi="Wingdings" w:cs="Wingdings" w:hint="default"/>
      </w:rPr>
    </w:lvl>
    <w:lvl w:ilvl="3">
      <w:start w:val="1"/>
      <w:numFmt w:val="bullet"/>
      <w:lvlText w:val=""/>
      <w:lvlJc w:val="left"/>
      <w:pPr>
        <w:tabs>
          <w:tab w:val="num" w:pos="0"/>
        </w:tabs>
        <w:ind w:left="4865" w:hanging="360"/>
      </w:pPr>
      <w:rPr>
        <w:rFonts w:ascii="Symbol" w:hAnsi="Symbol" w:cs="Symbol" w:hint="default"/>
      </w:rPr>
    </w:lvl>
    <w:lvl w:ilvl="4">
      <w:start w:val="1"/>
      <w:numFmt w:val="bullet"/>
      <w:lvlText w:val="o"/>
      <w:lvlJc w:val="left"/>
      <w:pPr>
        <w:tabs>
          <w:tab w:val="num" w:pos="0"/>
        </w:tabs>
        <w:ind w:left="5585" w:hanging="360"/>
      </w:pPr>
      <w:rPr>
        <w:rFonts w:ascii="Courier New" w:hAnsi="Courier New" w:cs="Courier New" w:hint="default"/>
      </w:rPr>
    </w:lvl>
    <w:lvl w:ilvl="5">
      <w:start w:val="1"/>
      <w:numFmt w:val="bullet"/>
      <w:lvlText w:val=""/>
      <w:lvlJc w:val="left"/>
      <w:pPr>
        <w:tabs>
          <w:tab w:val="num" w:pos="0"/>
        </w:tabs>
        <w:ind w:left="6305" w:hanging="360"/>
      </w:pPr>
      <w:rPr>
        <w:rFonts w:ascii="Wingdings" w:hAnsi="Wingdings" w:cs="Wingdings" w:hint="default"/>
      </w:rPr>
    </w:lvl>
    <w:lvl w:ilvl="6">
      <w:start w:val="1"/>
      <w:numFmt w:val="bullet"/>
      <w:lvlText w:val=""/>
      <w:lvlJc w:val="left"/>
      <w:pPr>
        <w:tabs>
          <w:tab w:val="num" w:pos="0"/>
        </w:tabs>
        <w:ind w:left="7025" w:hanging="360"/>
      </w:pPr>
      <w:rPr>
        <w:rFonts w:ascii="Symbol" w:hAnsi="Symbol" w:cs="Symbol" w:hint="default"/>
      </w:rPr>
    </w:lvl>
    <w:lvl w:ilvl="7">
      <w:start w:val="1"/>
      <w:numFmt w:val="bullet"/>
      <w:lvlText w:val="o"/>
      <w:lvlJc w:val="left"/>
      <w:pPr>
        <w:tabs>
          <w:tab w:val="num" w:pos="0"/>
        </w:tabs>
        <w:ind w:left="7745" w:hanging="360"/>
      </w:pPr>
      <w:rPr>
        <w:rFonts w:ascii="Courier New" w:hAnsi="Courier New" w:cs="Courier New" w:hint="default"/>
      </w:rPr>
    </w:lvl>
    <w:lvl w:ilvl="8">
      <w:start w:val="1"/>
      <w:numFmt w:val="bullet"/>
      <w:lvlText w:val=""/>
      <w:lvlJc w:val="left"/>
      <w:pPr>
        <w:tabs>
          <w:tab w:val="num" w:pos="0"/>
        </w:tabs>
        <w:ind w:left="8465" w:hanging="360"/>
      </w:pPr>
      <w:rPr>
        <w:rFonts w:ascii="Wingdings" w:hAnsi="Wingdings" w:cs="Wingdings" w:hint="default"/>
      </w:rPr>
    </w:lvl>
  </w:abstractNum>
  <w:abstractNum w:abstractNumId="11" w15:restartNumberingAfterBreak="0">
    <w:nsid w:val="50C97E7F"/>
    <w:multiLevelType w:val="multilevel"/>
    <w:tmpl w:val="46E8AE0E"/>
    <w:lvl w:ilvl="0">
      <w:start w:val="1"/>
      <w:numFmt w:val="bullet"/>
      <w:pStyle w:val="NUMTIRETLETTRE3"/>
      <w:lvlText w:val=""/>
      <w:lvlJc w:val="left"/>
      <w:pPr>
        <w:tabs>
          <w:tab w:val="num" w:pos="360"/>
        </w:tabs>
        <w:ind w:left="283" w:hanging="283"/>
      </w:pPr>
      <w:rPr>
        <w:rFonts w:ascii="Symbol" w:hAnsi="Symbol" w:cs="Symbol" w:hint="default"/>
        <w:b w:val="0"/>
        <w:i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0F762B7"/>
    <w:multiLevelType w:val="multilevel"/>
    <w:tmpl w:val="A18E47BE"/>
    <w:lvl w:ilvl="0">
      <w:start w:val="1"/>
      <w:numFmt w:val="bullet"/>
      <w:pStyle w:val="puce"/>
      <w:lvlText w:val=""/>
      <w:lvlJc w:val="left"/>
      <w:pPr>
        <w:tabs>
          <w:tab w:val="num" w:pos="900"/>
        </w:tabs>
        <w:ind w:left="90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1B85919"/>
    <w:multiLevelType w:val="multilevel"/>
    <w:tmpl w:val="D9DA262A"/>
    <w:lvl w:ilvl="0">
      <w:start w:val="1"/>
      <w:numFmt w:val="bullet"/>
      <w:pStyle w:val="puce5"/>
      <w:lvlText w:val=""/>
      <w:lvlJc w:val="left"/>
      <w:pPr>
        <w:tabs>
          <w:tab w:val="num" w:pos="4287"/>
        </w:tabs>
        <w:ind w:left="4287" w:hanging="360"/>
      </w:pPr>
      <w:rPr>
        <w:rFonts w:ascii="Symbol" w:hAnsi="Symbol" w:cs="Symbol" w:hint="default"/>
        <w:color w:val="auto"/>
      </w:rPr>
    </w:lvl>
    <w:lvl w:ilvl="1">
      <w:start w:val="1"/>
      <w:numFmt w:val="bullet"/>
      <w:lvlText w:val="o"/>
      <w:lvlJc w:val="left"/>
      <w:pPr>
        <w:tabs>
          <w:tab w:val="num" w:pos="5367"/>
        </w:tabs>
        <w:ind w:left="5367" w:hanging="360"/>
      </w:pPr>
      <w:rPr>
        <w:rFonts w:ascii="Courier New" w:hAnsi="Courier New" w:cs="Courier New" w:hint="default"/>
      </w:rPr>
    </w:lvl>
    <w:lvl w:ilvl="2">
      <w:start w:val="1"/>
      <w:numFmt w:val="bullet"/>
      <w:lvlText w:val=""/>
      <w:lvlJc w:val="left"/>
      <w:pPr>
        <w:tabs>
          <w:tab w:val="num" w:pos="6087"/>
        </w:tabs>
        <w:ind w:left="6087" w:hanging="360"/>
      </w:pPr>
      <w:rPr>
        <w:rFonts w:ascii="Wingdings" w:hAnsi="Wingdings" w:cs="Wingdings" w:hint="default"/>
      </w:rPr>
    </w:lvl>
    <w:lvl w:ilvl="3">
      <w:start w:val="1"/>
      <w:numFmt w:val="bullet"/>
      <w:lvlText w:val=""/>
      <w:lvlJc w:val="left"/>
      <w:pPr>
        <w:tabs>
          <w:tab w:val="num" w:pos="6807"/>
        </w:tabs>
        <w:ind w:left="6807" w:hanging="360"/>
      </w:pPr>
      <w:rPr>
        <w:rFonts w:ascii="Symbol" w:hAnsi="Symbol" w:cs="Symbol" w:hint="default"/>
      </w:rPr>
    </w:lvl>
    <w:lvl w:ilvl="4">
      <w:start w:val="1"/>
      <w:numFmt w:val="bullet"/>
      <w:lvlText w:val="o"/>
      <w:lvlJc w:val="left"/>
      <w:pPr>
        <w:tabs>
          <w:tab w:val="num" w:pos="7527"/>
        </w:tabs>
        <w:ind w:left="7527" w:hanging="360"/>
      </w:pPr>
      <w:rPr>
        <w:rFonts w:ascii="Courier New" w:hAnsi="Courier New" w:cs="Courier New" w:hint="default"/>
      </w:rPr>
    </w:lvl>
    <w:lvl w:ilvl="5">
      <w:start w:val="1"/>
      <w:numFmt w:val="bullet"/>
      <w:lvlText w:val=""/>
      <w:lvlJc w:val="left"/>
      <w:pPr>
        <w:tabs>
          <w:tab w:val="num" w:pos="8247"/>
        </w:tabs>
        <w:ind w:left="8247" w:hanging="360"/>
      </w:pPr>
      <w:rPr>
        <w:rFonts w:ascii="Wingdings" w:hAnsi="Wingdings" w:cs="Wingdings" w:hint="default"/>
      </w:rPr>
    </w:lvl>
    <w:lvl w:ilvl="6">
      <w:start w:val="1"/>
      <w:numFmt w:val="bullet"/>
      <w:lvlText w:val=""/>
      <w:lvlJc w:val="left"/>
      <w:pPr>
        <w:tabs>
          <w:tab w:val="num" w:pos="8967"/>
        </w:tabs>
        <w:ind w:left="8967" w:hanging="360"/>
      </w:pPr>
      <w:rPr>
        <w:rFonts w:ascii="Symbol" w:hAnsi="Symbol" w:cs="Symbol" w:hint="default"/>
      </w:rPr>
    </w:lvl>
    <w:lvl w:ilvl="7">
      <w:start w:val="1"/>
      <w:numFmt w:val="bullet"/>
      <w:lvlText w:val="o"/>
      <w:lvlJc w:val="left"/>
      <w:pPr>
        <w:tabs>
          <w:tab w:val="num" w:pos="9687"/>
        </w:tabs>
        <w:ind w:left="9687" w:hanging="360"/>
      </w:pPr>
      <w:rPr>
        <w:rFonts w:ascii="Courier New" w:hAnsi="Courier New" w:cs="Courier New" w:hint="default"/>
      </w:rPr>
    </w:lvl>
    <w:lvl w:ilvl="8">
      <w:start w:val="1"/>
      <w:numFmt w:val="bullet"/>
      <w:lvlText w:val=""/>
      <w:lvlJc w:val="left"/>
      <w:pPr>
        <w:tabs>
          <w:tab w:val="num" w:pos="10407"/>
        </w:tabs>
        <w:ind w:left="10407" w:hanging="360"/>
      </w:pPr>
      <w:rPr>
        <w:rFonts w:ascii="Wingdings" w:hAnsi="Wingdings" w:cs="Wingdings" w:hint="default"/>
      </w:rPr>
    </w:lvl>
  </w:abstractNum>
  <w:abstractNum w:abstractNumId="14" w15:restartNumberingAfterBreak="0">
    <w:nsid w:val="52A00237"/>
    <w:multiLevelType w:val="multilevel"/>
    <w:tmpl w:val="4070564A"/>
    <w:lvl w:ilvl="0">
      <w:start w:val="1"/>
      <w:numFmt w:val="bullet"/>
      <w:pStyle w:val="Listepuces2"/>
      <w:lvlText w:val=""/>
      <w:lvlJc w:val="left"/>
      <w:pPr>
        <w:tabs>
          <w:tab w:val="num" w:pos="0"/>
        </w:tabs>
        <w:ind w:left="984" w:hanging="360"/>
      </w:pPr>
      <w:rPr>
        <w:rFonts w:ascii="Wingdings 3" w:hAnsi="Wingdings 3" w:cs="Wingdings 3" w:hint="default"/>
        <w:b w:val="0"/>
        <w:i w:val="0"/>
        <w:color w:val="1F415A"/>
        <w:sz w:val="22"/>
        <w:u w:val="none" w:color="FFFFFF" w:themeColor="light1"/>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5" w15:restartNumberingAfterBreak="0">
    <w:nsid w:val="58877E6F"/>
    <w:multiLevelType w:val="multilevel"/>
    <w:tmpl w:val="77208ACE"/>
    <w:lvl w:ilvl="0">
      <w:start w:val="1"/>
      <w:numFmt w:val="decimal"/>
      <w:pStyle w:val="PP"/>
      <w:lvlText w:val="Exi %1."/>
      <w:lvlJc w:val="left"/>
      <w:pPr>
        <w:tabs>
          <w:tab w:val="num" w:pos="0"/>
        </w:tabs>
        <w:ind w:left="1070" w:hanging="360"/>
      </w:pPr>
      <w:rPr>
        <w:rFonts w:ascii="Calibri" w:hAnsi="Calibri"/>
        <w:b w:val="0"/>
        <w:color w:val="C0504D"/>
        <w:sz w:val="22"/>
        <w:szCs w:val="22"/>
      </w:rPr>
    </w:lvl>
    <w:lvl w:ilvl="1">
      <w:start w:val="1"/>
      <w:numFmt w:val="bullet"/>
      <w:lvlText w:val=""/>
      <w:lvlJc w:val="left"/>
      <w:pPr>
        <w:tabs>
          <w:tab w:val="num" w:pos="0"/>
        </w:tabs>
        <w:ind w:left="1354" w:hanging="360"/>
      </w:pPr>
      <w:rPr>
        <w:rFonts w:ascii="Symbol" w:hAnsi="Symbol" w:cs="Symbol" w:hint="default"/>
      </w:rPr>
    </w:lvl>
    <w:lvl w:ilvl="2">
      <w:start w:val="1"/>
      <w:numFmt w:val="lowerRoman"/>
      <w:lvlText w:val="%3."/>
      <w:lvlJc w:val="right"/>
      <w:pPr>
        <w:tabs>
          <w:tab w:val="num" w:pos="0"/>
        </w:tabs>
        <w:ind w:left="2019" w:hanging="180"/>
      </w:pPr>
    </w:lvl>
    <w:lvl w:ilvl="3">
      <w:start w:val="1"/>
      <w:numFmt w:val="decimal"/>
      <w:lvlText w:val="%4."/>
      <w:lvlJc w:val="left"/>
      <w:pPr>
        <w:tabs>
          <w:tab w:val="num" w:pos="0"/>
        </w:tabs>
        <w:ind w:left="2739" w:hanging="360"/>
      </w:pPr>
    </w:lvl>
    <w:lvl w:ilvl="4">
      <w:start w:val="1"/>
      <w:numFmt w:val="lowerLetter"/>
      <w:lvlText w:val="%5."/>
      <w:lvlJc w:val="left"/>
      <w:pPr>
        <w:tabs>
          <w:tab w:val="num" w:pos="0"/>
        </w:tabs>
        <w:ind w:left="3459" w:hanging="360"/>
      </w:pPr>
    </w:lvl>
    <w:lvl w:ilvl="5">
      <w:start w:val="1"/>
      <w:numFmt w:val="lowerRoman"/>
      <w:lvlText w:val="%6."/>
      <w:lvlJc w:val="right"/>
      <w:pPr>
        <w:tabs>
          <w:tab w:val="num" w:pos="0"/>
        </w:tabs>
        <w:ind w:left="4179" w:hanging="180"/>
      </w:pPr>
    </w:lvl>
    <w:lvl w:ilvl="6">
      <w:start w:val="1"/>
      <w:numFmt w:val="decimal"/>
      <w:lvlText w:val="%7."/>
      <w:lvlJc w:val="left"/>
      <w:pPr>
        <w:tabs>
          <w:tab w:val="num" w:pos="0"/>
        </w:tabs>
        <w:ind w:left="4899" w:hanging="360"/>
      </w:pPr>
    </w:lvl>
    <w:lvl w:ilvl="7">
      <w:start w:val="1"/>
      <w:numFmt w:val="lowerLetter"/>
      <w:lvlText w:val="%8."/>
      <w:lvlJc w:val="left"/>
      <w:pPr>
        <w:tabs>
          <w:tab w:val="num" w:pos="0"/>
        </w:tabs>
        <w:ind w:left="5619" w:hanging="360"/>
      </w:pPr>
    </w:lvl>
    <w:lvl w:ilvl="8">
      <w:start w:val="1"/>
      <w:numFmt w:val="lowerRoman"/>
      <w:lvlText w:val="%9."/>
      <w:lvlJc w:val="right"/>
      <w:pPr>
        <w:tabs>
          <w:tab w:val="num" w:pos="0"/>
        </w:tabs>
        <w:ind w:left="6339" w:hanging="180"/>
      </w:pPr>
    </w:lvl>
  </w:abstractNum>
  <w:abstractNum w:abstractNumId="16" w15:restartNumberingAfterBreak="0">
    <w:nsid w:val="5F551121"/>
    <w:multiLevelType w:val="multilevel"/>
    <w:tmpl w:val="9ED86B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5FB206DA"/>
    <w:multiLevelType w:val="multilevel"/>
    <w:tmpl w:val="1C36BCF4"/>
    <w:lvl w:ilvl="0">
      <w:start w:val="1"/>
      <w:numFmt w:val="decimal"/>
      <w:pStyle w:val="Titre"/>
      <w:lvlText w:val="%1."/>
      <w:lvlJc w:val="left"/>
      <w:pPr>
        <w:tabs>
          <w:tab w:val="num" w:pos="0"/>
        </w:tabs>
        <w:ind w:left="360" w:hanging="360"/>
      </w:pPr>
      <w:rPr>
        <w:i w:val="0"/>
        <w:color w:val="000000" w:themeColor="text1"/>
        <w:sz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71947EF6"/>
    <w:multiLevelType w:val="multilevel"/>
    <w:tmpl w:val="D25E0BA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sz w:val="26"/>
        <w:szCs w:val="26"/>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7"/>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75660B98"/>
    <w:multiLevelType w:val="multilevel"/>
    <w:tmpl w:val="FDF65636"/>
    <w:lvl w:ilvl="0">
      <w:start w:val="1"/>
      <w:numFmt w:val="decimal"/>
      <w:pStyle w:val="Listenumros5"/>
      <w:lvlText w:val="%1."/>
      <w:lvlJc w:val="left"/>
      <w:pPr>
        <w:tabs>
          <w:tab w:val="num" w:pos="0"/>
        </w:tabs>
        <w:ind w:left="360" w:hanging="360"/>
      </w:pPr>
      <w:rPr>
        <w:color w:val="000000" w:themeColor="text1"/>
        <w:sz w:val="2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8007933"/>
    <w:multiLevelType w:val="multilevel"/>
    <w:tmpl w:val="E99ECF70"/>
    <w:lvl w:ilvl="0">
      <w:start w:val="1"/>
      <w:numFmt w:val="bullet"/>
      <w:pStyle w:val="Style6"/>
      <w:lvlText w:val=""/>
      <w:lvlJc w:val="left"/>
      <w:pPr>
        <w:tabs>
          <w:tab w:val="num" w:pos="0"/>
        </w:tabs>
        <w:ind w:left="1212" w:hanging="360"/>
      </w:pPr>
      <w:rPr>
        <w:rFonts w:ascii="Symbol" w:hAnsi="Symbol" w:cs="Symbol" w:hint="default"/>
      </w:rPr>
    </w:lvl>
    <w:lvl w:ilvl="1">
      <w:start w:val="1"/>
      <w:numFmt w:val="bullet"/>
      <w:lvlText w:val="o"/>
      <w:lvlJc w:val="left"/>
      <w:pPr>
        <w:tabs>
          <w:tab w:val="num" w:pos="0"/>
        </w:tabs>
        <w:ind w:left="1212" w:hanging="360"/>
      </w:pPr>
      <w:rPr>
        <w:rFonts w:ascii="Courier New" w:hAnsi="Courier New" w:cs="Courier New" w:hint="default"/>
      </w:rPr>
    </w:lvl>
    <w:lvl w:ilvl="2">
      <w:start w:val="1"/>
      <w:numFmt w:val="bullet"/>
      <w:lvlText w:val=""/>
      <w:lvlJc w:val="left"/>
      <w:pPr>
        <w:tabs>
          <w:tab w:val="num" w:pos="0"/>
        </w:tabs>
        <w:ind w:left="1932" w:hanging="360"/>
      </w:pPr>
      <w:rPr>
        <w:rFonts w:ascii="Wingdings" w:hAnsi="Wingdings" w:cs="Wingdings" w:hint="default"/>
      </w:rPr>
    </w:lvl>
    <w:lvl w:ilvl="3">
      <w:start w:val="1"/>
      <w:numFmt w:val="bullet"/>
      <w:lvlText w:val=""/>
      <w:lvlJc w:val="left"/>
      <w:pPr>
        <w:tabs>
          <w:tab w:val="num" w:pos="0"/>
        </w:tabs>
        <w:ind w:left="2652" w:hanging="360"/>
      </w:pPr>
      <w:rPr>
        <w:rFonts w:ascii="Wingdings" w:hAnsi="Wingdings" w:cs="Wingdings" w:hint="default"/>
      </w:rPr>
    </w:lvl>
    <w:lvl w:ilvl="4">
      <w:start w:val="1"/>
      <w:numFmt w:val="bullet"/>
      <w:lvlText w:val="o"/>
      <w:lvlJc w:val="left"/>
      <w:pPr>
        <w:tabs>
          <w:tab w:val="num" w:pos="0"/>
        </w:tabs>
        <w:ind w:left="3372" w:hanging="360"/>
      </w:pPr>
      <w:rPr>
        <w:rFonts w:ascii="Courier New" w:hAnsi="Courier New" w:cs="Courier New" w:hint="default"/>
      </w:rPr>
    </w:lvl>
    <w:lvl w:ilvl="5">
      <w:start w:val="1"/>
      <w:numFmt w:val="bullet"/>
      <w:lvlText w:val=""/>
      <w:lvlJc w:val="left"/>
      <w:pPr>
        <w:tabs>
          <w:tab w:val="num" w:pos="0"/>
        </w:tabs>
        <w:ind w:left="4092" w:hanging="360"/>
      </w:pPr>
      <w:rPr>
        <w:rFonts w:ascii="Wingdings" w:hAnsi="Wingdings" w:cs="Wingdings" w:hint="default"/>
      </w:rPr>
    </w:lvl>
    <w:lvl w:ilvl="6">
      <w:start w:val="1"/>
      <w:numFmt w:val="bullet"/>
      <w:lvlText w:val=""/>
      <w:lvlJc w:val="left"/>
      <w:pPr>
        <w:tabs>
          <w:tab w:val="num" w:pos="0"/>
        </w:tabs>
        <w:ind w:left="4812" w:hanging="360"/>
      </w:pPr>
      <w:rPr>
        <w:rFonts w:ascii="Symbol" w:hAnsi="Symbol" w:cs="Symbol" w:hint="default"/>
      </w:rPr>
    </w:lvl>
    <w:lvl w:ilvl="7">
      <w:start w:val="1"/>
      <w:numFmt w:val="bullet"/>
      <w:lvlText w:val="o"/>
      <w:lvlJc w:val="left"/>
      <w:pPr>
        <w:tabs>
          <w:tab w:val="num" w:pos="0"/>
        </w:tabs>
        <w:ind w:left="5532" w:hanging="360"/>
      </w:pPr>
      <w:rPr>
        <w:rFonts w:ascii="Courier New" w:hAnsi="Courier New" w:cs="Courier New" w:hint="default"/>
      </w:rPr>
    </w:lvl>
    <w:lvl w:ilvl="8">
      <w:start w:val="1"/>
      <w:numFmt w:val="bullet"/>
      <w:lvlText w:val=""/>
      <w:lvlJc w:val="left"/>
      <w:pPr>
        <w:tabs>
          <w:tab w:val="num" w:pos="0"/>
        </w:tabs>
        <w:ind w:left="6252" w:hanging="360"/>
      </w:pPr>
      <w:rPr>
        <w:rFonts w:ascii="Wingdings" w:hAnsi="Wingdings" w:cs="Wingdings" w:hint="default"/>
      </w:rPr>
    </w:lvl>
  </w:abstractNum>
  <w:abstractNum w:abstractNumId="21" w15:restartNumberingAfterBreak="0">
    <w:nsid w:val="782D1B1C"/>
    <w:multiLevelType w:val="multilevel"/>
    <w:tmpl w:val="67F6C0EA"/>
    <w:lvl w:ilvl="0">
      <w:start w:val="1"/>
      <w:numFmt w:val="bullet"/>
      <w:pStyle w:val="Listepuces"/>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A2835BE"/>
    <w:multiLevelType w:val="multilevel"/>
    <w:tmpl w:val="D96A3C88"/>
    <w:lvl w:ilvl="0">
      <w:start w:val="1"/>
      <w:numFmt w:val="decimalZero"/>
      <w:pStyle w:val="GEN-"/>
      <w:lvlText w:val="GEN-%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7EBF4170"/>
    <w:multiLevelType w:val="multilevel"/>
    <w:tmpl w:val="5DF86076"/>
    <w:lvl w:ilvl="0">
      <w:start w:val="3"/>
      <w:numFmt w:val="bullet"/>
      <w:lvlText w:val="-"/>
      <w:lvlJc w:val="left"/>
      <w:pPr>
        <w:tabs>
          <w:tab w:val="num" w:pos="0"/>
        </w:tabs>
        <w:ind w:left="720" w:hanging="360"/>
      </w:pPr>
      <w:rPr>
        <w:rFonts w:ascii="Arial" w:hAnsi="Arial" w:cs="Arial" w:hint="default"/>
      </w:rPr>
    </w:lvl>
    <w:lvl w:ilvl="1">
      <w:start w:val="1"/>
      <w:numFmt w:val="bullet"/>
      <w:pStyle w:val="Style7"/>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4"/>
  </w:num>
  <w:num w:numId="2">
    <w:abstractNumId w:val="19"/>
  </w:num>
  <w:num w:numId="3">
    <w:abstractNumId w:val="17"/>
  </w:num>
  <w:num w:numId="4">
    <w:abstractNumId w:val="6"/>
  </w:num>
  <w:num w:numId="5">
    <w:abstractNumId w:val="1"/>
  </w:num>
  <w:num w:numId="6">
    <w:abstractNumId w:val="10"/>
  </w:num>
  <w:num w:numId="7">
    <w:abstractNumId w:val="3"/>
  </w:num>
  <w:num w:numId="8">
    <w:abstractNumId w:val="23"/>
  </w:num>
  <w:num w:numId="9">
    <w:abstractNumId w:val="20"/>
  </w:num>
  <w:num w:numId="10">
    <w:abstractNumId w:val="7"/>
  </w:num>
  <w:num w:numId="11">
    <w:abstractNumId w:val="0"/>
  </w:num>
  <w:num w:numId="12">
    <w:abstractNumId w:val="21"/>
  </w:num>
  <w:num w:numId="13">
    <w:abstractNumId w:val="8"/>
  </w:num>
  <w:num w:numId="14">
    <w:abstractNumId w:val="5"/>
  </w:num>
  <w:num w:numId="15">
    <w:abstractNumId w:val="22"/>
  </w:num>
  <w:num w:numId="16">
    <w:abstractNumId w:val="9"/>
  </w:num>
  <w:num w:numId="17">
    <w:abstractNumId w:val="2"/>
  </w:num>
  <w:num w:numId="18">
    <w:abstractNumId w:val="13"/>
  </w:num>
  <w:num w:numId="19">
    <w:abstractNumId w:val="12"/>
  </w:num>
  <w:num w:numId="20">
    <w:abstractNumId w:val="15"/>
  </w:num>
  <w:num w:numId="21">
    <w:abstractNumId w:val="11"/>
  </w:num>
  <w:num w:numId="22">
    <w:abstractNumId w:val="18"/>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C002F"/>
    <w:rsid w:val="00123018"/>
    <w:rsid w:val="008E60F0"/>
    <w:rsid w:val="00AC002F"/>
    <w:rsid w:val="00AE5915"/>
    <w:rsid w:val="00CE4C0E"/>
    <w:rsid w:val="00FB5DCC"/>
  </w:rsids>
  <m:mathPr>
    <m:mathFont m:val="Cambria Math"/>
    <m:brkBin m:val="before"/>
    <m:brkBinSub m:val="--"/>
    <m:smallFrac m:val="0"/>
    <m:dispDef/>
    <m:lMargin m:val="0"/>
    <m:rMargin m:val="0"/>
    <m:defJc m:val="centerGroup"/>
    <m:wrapIndent m:val="1440"/>
    <m:intLim m:val="subSup"/>
    <m:naryLim m:val="undOvr"/>
  </m:mathPr>
  <w:themeFontLang w:val="fr-FR"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9FBC3"/>
  <w15:docId w15:val="{32563802-84E2-4929-AFB5-1A82566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55F"/>
    <w:pPr>
      <w:spacing w:after="200" w:line="259" w:lineRule="auto"/>
      <w:jc w:val="both"/>
    </w:pPr>
    <w:rPr>
      <w:rFonts w:ascii="Arial" w:hAnsi="Arial"/>
      <w:sz w:val="21"/>
    </w:rPr>
  </w:style>
  <w:style w:type="paragraph" w:styleId="Titre1">
    <w:name w:val="heading 1"/>
    <w:basedOn w:val="Normal"/>
    <w:next w:val="Normal"/>
    <w:link w:val="Titre1Car"/>
    <w:uiPriority w:val="9"/>
    <w:qFormat/>
    <w:rsid w:val="00936A46"/>
    <w:pPr>
      <w:keepNext/>
      <w:keepLines/>
      <w:pageBreakBefore/>
      <w:pBdr>
        <w:bottom w:val="single" w:sz="4" w:space="1" w:color="000000"/>
      </w:pBdr>
      <w:spacing w:after="360"/>
      <w:jc w:val="left"/>
      <w:outlineLvl w:val="0"/>
    </w:pPr>
    <w:rPr>
      <w:rFonts w:eastAsiaTheme="majorEastAsia" w:cstheme="majorBidi"/>
      <w:b/>
      <w:caps/>
      <w:color w:val="0C283C"/>
      <w:sz w:val="32"/>
      <w:szCs w:val="32"/>
    </w:rPr>
  </w:style>
  <w:style w:type="paragraph" w:styleId="Titre2">
    <w:name w:val="heading 2"/>
    <w:basedOn w:val="Normal"/>
    <w:next w:val="Normal"/>
    <w:link w:val="Titre2Car"/>
    <w:uiPriority w:val="9"/>
    <w:unhideWhenUsed/>
    <w:qFormat/>
    <w:rsid w:val="0013508A"/>
    <w:pPr>
      <w:keepNext/>
      <w:keepLines/>
      <w:spacing w:before="240" w:after="240"/>
      <w:jc w:val="left"/>
      <w:outlineLvl w:val="1"/>
    </w:pPr>
    <w:rPr>
      <w:rFonts w:eastAsiaTheme="majorEastAsia" w:cstheme="majorBidi"/>
      <w:b/>
      <w:color w:val="0C283C"/>
      <w:sz w:val="28"/>
      <w:szCs w:val="26"/>
    </w:rPr>
  </w:style>
  <w:style w:type="paragraph" w:styleId="Titre3">
    <w:name w:val="heading 3"/>
    <w:basedOn w:val="Normal"/>
    <w:next w:val="Normal"/>
    <w:link w:val="Titre3Car"/>
    <w:uiPriority w:val="9"/>
    <w:unhideWhenUsed/>
    <w:qFormat/>
    <w:rsid w:val="0013508A"/>
    <w:pPr>
      <w:keepNext/>
      <w:keepLines/>
      <w:numPr>
        <w:ilvl w:val="2"/>
        <w:numId w:val="4"/>
      </w:numPr>
      <w:spacing w:before="120" w:after="120"/>
      <w:jc w:val="left"/>
      <w:outlineLvl w:val="2"/>
    </w:pPr>
    <w:rPr>
      <w:rFonts w:eastAsiaTheme="majorEastAsia" w:cstheme="majorBidi"/>
      <w:b/>
      <w:color w:val="0C283C"/>
      <w:sz w:val="24"/>
      <w:szCs w:val="24"/>
    </w:rPr>
  </w:style>
  <w:style w:type="paragraph" w:styleId="Titre4">
    <w:name w:val="heading 4"/>
    <w:basedOn w:val="Normal"/>
    <w:next w:val="Normal"/>
    <w:link w:val="Titre4Car"/>
    <w:uiPriority w:val="9"/>
    <w:unhideWhenUsed/>
    <w:qFormat/>
    <w:rsid w:val="00232B3A"/>
    <w:pPr>
      <w:keepNext/>
      <w:keepLines/>
      <w:numPr>
        <w:ilvl w:val="3"/>
        <w:numId w:val="4"/>
      </w:numPr>
      <w:tabs>
        <w:tab w:val="left" w:pos="0"/>
      </w:tabs>
      <w:spacing w:before="600"/>
      <w:jc w:val="left"/>
      <w:outlineLvl w:val="3"/>
    </w:pPr>
    <w:rPr>
      <w:rFonts w:eastAsiaTheme="majorEastAsia" w:cstheme="majorBidi"/>
      <w:b/>
      <w:iCs/>
      <w:smallCaps/>
      <w:color w:val="0C283C"/>
    </w:rPr>
  </w:style>
  <w:style w:type="paragraph" w:styleId="Titre5">
    <w:name w:val="heading 5"/>
    <w:basedOn w:val="Normal"/>
    <w:next w:val="Normal"/>
    <w:link w:val="Titre5Car"/>
    <w:uiPriority w:val="9"/>
    <w:unhideWhenUsed/>
    <w:qFormat/>
    <w:rsid w:val="00E367EA"/>
    <w:pPr>
      <w:keepNext/>
      <w:keepLines/>
      <w:numPr>
        <w:ilvl w:val="4"/>
        <w:numId w:val="4"/>
      </w:numPr>
      <w:tabs>
        <w:tab w:val="left" w:pos="0"/>
      </w:tabs>
      <w:spacing w:before="600"/>
      <w:jc w:val="left"/>
      <w:outlineLvl w:val="4"/>
    </w:pPr>
    <w:rPr>
      <w:rFonts w:eastAsiaTheme="majorEastAsia" w:cstheme="majorBidi"/>
      <w:color w:val="0C283C"/>
    </w:rPr>
  </w:style>
  <w:style w:type="paragraph" w:styleId="Titre6">
    <w:name w:val="heading 6"/>
    <w:basedOn w:val="Normal"/>
    <w:next w:val="Normal"/>
    <w:link w:val="Titre6Car"/>
    <w:uiPriority w:val="9"/>
    <w:unhideWhenUsed/>
    <w:qFormat/>
    <w:rsid w:val="005C155F"/>
    <w:pPr>
      <w:keepNext/>
      <w:keepLines/>
      <w:outlineLvl w:val="5"/>
    </w:pPr>
    <w:rPr>
      <w:rFonts w:eastAsiaTheme="majorEastAsia" w:cstheme="majorBidi"/>
      <w:b/>
      <w:iCs/>
      <w:color w:val="1F415A"/>
    </w:rPr>
  </w:style>
  <w:style w:type="paragraph" w:styleId="Titre7">
    <w:name w:val="heading 7"/>
    <w:basedOn w:val="Normal"/>
    <w:next w:val="Normal"/>
    <w:link w:val="Titre7Car"/>
    <w:uiPriority w:val="9"/>
    <w:unhideWhenUsed/>
    <w:qFormat/>
    <w:rsid w:val="005C155F"/>
    <w:pPr>
      <w:keepNext/>
      <w:keepLines/>
      <w:spacing w:before="200"/>
      <w:jc w:val="left"/>
      <w:outlineLvl w:val="6"/>
    </w:pPr>
    <w:rPr>
      <w:rFonts w:eastAsiaTheme="majorEastAsia" w:cstheme="majorBidi"/>
      <w:i/>
      <w:iCs/>
      <w:color w:val="000000" w:themeColor="text1"/>
      <w:sz w:val="20"/>
    </w:rPr>
  </w:style>
  <w:style w:type="paragraph" w:styleId="Titre8">
    <w:name w:val="heading 8"/>
    <w:basedOn w:val="Titre5"/>
    <w:next w:val="Normal"/>
    <w:link w:val="Titre8Car"/>
    <w:uiPriority w:val="9"/>
    <w:unhideWhenUsed/>
    <w:qFormat/>
    <w:rsid w:val="00162796"/>
    <w:pPr>
      <w:numPr>
        <w:ilvl w:val="0"/>
        <w:numId w:val="5"/>
      </w:numPr>
      <w:spacing w:before="200"/>
      <w:ind w:left="357" w:hanging="357"/>
      <w:outlineLvl w:val="7"/>
    </w:pPr>
    <w:rPr>
      <w:color w:val="404040" w:themeColor="text1" w:themeTint="BF"/>
      <w:szCs w:val="20"/>
    </w:rPr>
  </w:style>
  <w:style w:type="paragraph" w:styleId="Titre9">
    <w:name w:val="heading 9"/>
    <w:basedOn w:val="Normal"/>
    <w:next w:val="Normal"/>
    <w:link w:val="Titre9Car"/>
    <w:uiPriority w:val="9"/>
    <w:unhideWhenUsed/>
    <w:qFormat/>
    <w:rsid w:val="004F166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936A46"/>
    <w:rPr>
      <w:rFonts w:ascii="Arial" w:eastAsiaTheme="majorEastAsia" w:hAnsi="Arial" w:cstheme="majorBidi"/>
      <w:b/>
      <w:caps/>
      <w:color w:val="0C283C"/>
      <w:sz w:val="32"/>
      <w:szCs w:val="32"/>
    </w:rPr>
  </w:style>
  <w:style w:type="character" w:customStyle="1" w:styleId="Titre2Car">
    <w:name w:val="Titre 2 Car"/>
    <w:basedOn w:val="Policepardfaut"/>
    <w:link w:val="Titre2"/>
    <w:uiPriority w:val="9"/>
    <w:qFormat/>
    <w:rsid w:val="0013508A"/>
    <w:rPr>
      <w:rFonts w:ascii="Arial" w:eastAsiaTheme="majorEastAsia" w:hAnsi="Arial" w:cstheme="majorBidi"/>
      <w:b/>
      <w:color w:val="0C283C"/>
      <w:sz w:val="28"/>
      <w:szCs w:val="26"/>
    </w:rPr>
  </w:style>
  <w:style w:type="character" w:customStyle="1" w:styleId="Titre3Car">
    <w:name w:val="Titre 3 Car"/>
    <w:basedOn w:val="Policepardfaut"/>
    <w:link w:val="Titre3"/>
    <w:uiPriority w:val="9"/>
    <w:qFormat/>
    <w:rsid w:val="0013508A"/>
    <w:rPr>
      <w:rFonts w:ascii="Arial" w:eastAsiaTheme="majorEastAsia" w:hAnsi="Arial" w:cstheme="majorBidi"/>
      <w:b/>
      <w:color w:val="0C283C"/>
      <w:sz w:val="24"/>
      <w:szCs w:val="24"/>
    </w:rPr>
  </w:style>
  <w:style w:type="character" w:customStyle="1" w:styleId="En-tteCar">
    <w:name w:val="En-tête Car"/>
    <w:basedOn w:val="Policepardfaut"/>
    <w:link w:val="En-tte"/>
    <w:uiPriority w:val="99"/>
    <w:qFormat/>
    <w:rsid w:val="005C155F"/>
    <w:rPr>
      <w:rFonts w:ascii="Arial" w:hAnsi="Arial"/>
      <w:sz w:val="21"/>
    </w:rPr>
  </w:style>
  <w:style w:type="character" w:customStyle="1" w:styleId="PieddepageCar">
    <w:name w:val="Pied de page Car"/>
    <w:basedOn w:val="Policepardfaut"/>
    <w:link w:val="Pieddepage"/>
    <w:uiPriority w:val="99"/>
    <w:qFormat/>
    <w:rsid w:val="005C155F"/>
    <w:rPr>
      <w:rFonts w:ascii="Arial" w:hAnsi="Arial"/>
      <w:sz w:val="21"/>
    </w:rPr>
  </w:style>
  <w:style w:type="character" w:customStyle="1" w:styleId="TextedebullesCar">
    <w:name w:val="Texte de bulles Car"/>
    <w:basedOn w:val="Policepardfaut"/>
    <w:link w:val="Textedebulles"/>
    <w:uiPriority w:val="99"/>
    <w:semiHidden/>
    <w:qFormat/>
    <w:rsid w:val="005C155F"/>
    <w:rPr>
      <w:rFonts w:ascii="Segoe UI" w:hAnsi="Segoe UI" w:cs="Segoe UI"/>
      <w:sz w:val="18"/>
      <w:szCs w:val="18"/>
    </w:rPr>
  </w:style>
  <w:style w:type="character" w:customStyle="1" w:styleId="Titre4Car">
    <w:name w:val="Titre 4 Car"/>
    <w:basedOn w:val="Policepardfaut"/>
    <w:link w:val="Titre4"/>
    <w:uiPriority w:val="9"/>
    <w:qFormat/>
    <w:rsid w:val="00232B3A"/>
    <w:rPr>
      <w:rFonts w:ascii="Arial" w:eastAsiaTheme="majorEastAsia" w:hAnsi="Arial" w:cstheme="majorBidi"/>
      <w:b/>
      <w:iCs/>
      <w:smallCaps/>
      <w:color w:val="0C283C"/>
      <w:sz w:val="21"/>
    </w:rPr>
  </w:style>
  <w:style w:type="character" w:customStyle="1" w:styleId="Titre5Car">
    <w:name w:val="Titre 5 Car"/>
    <w:basedOn w:val="Policepardfaut"/>
    <w:link w:val="Titre5"/>
    <w:uiPriority w:val="9"/>
    <w:qFormat/>
    <w:rsid w:val="00E367EA"/>
    <w:rPr>
      <w:rFonts w:ascii="Arial" w:eastAsiaTheme="majorEastAsia" w:hAnsi="Arial" w:cstheme="majorBidi"/>
      <w:color w:val="0C283C"/>
      <w:sz w:val="21"/>
    </w:rPr>
  </w:style>
  <w:style w:type="character" w:customStyle="1" w:styleId="Titre6Car">
    <w:name w:val="Titre 6 Car"/>
    <w:basedOn w:val="Policepardfaut"/>
    <w:link w:val="Titre6"/>
    <w:uiPriority w:val="9"/>
    <w:qFormat/>
    <w:rsid w:val="005C155F"/>
    <w:rPr>
      <w:rFonts w:ascii="Arial" w:eastAsiaTheme="majorEastAsia" w:hAnsi="Arial" w:cstheme="majorBidi"/>
      <w:b/>
      <w:iCs/>
      <w:color w:val="1F415A"/>
      <w:sz w:val="21"/>
    </w:rPr>
  </w:style>
  <w:style w:type="character" w:customStyle="1" w:styleId="apple-converted-space">
    <w:name w:val="apple-converted-space"/>
    <w:basedOn w:val="Policepardfaut"/>
    <w:qFormat/>
    <w:rsid w:val="005C155F"/>
  </w:style>
  <w:style w:type="character" w:styleId="Lienhypertexte">
    <w:name w:val="Hyperlink"/>
    <w:basedOn w:val="Policepardfaut"/>
    <w:uiPriority w:val="99"/>
    <w:unhideWhenUsed/>
    <w:rsid w:val="005C155F"/>
    <w:rPr>
      <w:color w:val="FFFFFF" w:themeColor="hyperlink"/>
      <w:u w:val="single"/>
    </w:rPr>
  </w:style>
  <w:style w:type="character" w:customStyle="1" w:styleId="NotedebasdepageCar">
    <w:name w:val="Note de bas de page Car"/>
    <w:basedOn w:val="Policepardfaut"/>
    <w:link w:val="Notedebasdepage"/>
    <w:uiPriority w:val="99"/>
    <w:qFormat/>
    <w:rsid w:val="005C155F"/>
    <w:rPr>
      <w:rFonts w:ascii="Arial" w:hAnsi="Arial"/>
      <w:sz w:val="18"/>
      <w:szCs w:val="20"/>
    </w:rPr>
  </w:style>
  <w:style w:type="character" w:customStyle="1" w:styleId="FootnoteCharactersuser">
    <w:name w:val="Footnote Characters (user)"/>
    <w:unhideWhenUsed/>
    <w:qFormat/>
    <w:rsid w:val="005C155F"/>
    <w:rPr>
      <w:vertAlign w:val="superscript"/>
    </w:rPr>
  </w:style>
  <w:style w:type="character" w:customStyle="1" w:styleId="FootnoteCharacters">
    <w:name w:val="Footnote Characters"/>
    <w:qFormat/>
    <w:rPr>
      <w:vertAlign w:val="superscript"/>
    </w:rPr>
  </w:style>
  <w:style w:type="character" w:styleId="Appelnotedebasdep">
    <w:name w:val="footnote reference"/>
    <w:rPr>
      <w:vertAlign w:val="superscript"/>
    </w:rPr>
  </w:style>
  <w:style w:type="character" w:customStyle="1" w:styleId="NotedefinCar">
    <w:name w:val="Note de fin Car"/>
    <w:basedOn w:val="Policepardfaut"/>
    <w:link w:val="Notedefin"/>
    <w:uiPriority w:val="99"/>
    <w:qFormat/>
    <w:rsid w:val="005C155F"/>
    <w:rPr>
      <w:rFonts w:ascii="Arial" w:hAnsi="Arial"/>
      <w:sz w:val="20"/>
      <w:szCs w:val="20"/>
    </w:rPr>
  </w:style>
  <w:style w:type="character" w:customStyle="1" w:styleId="TitreCar">
    <w:name w:val="Titre Car"/>
    <w:basedOn w:val="Policepardfaut"/>
    <w:link w:val="Titre"/>
    <w:uiPriority w:val="10"/>
    <w:qFormat/>
    <w:rsid w:val="000C72B2"/>
    <w:rPr>
      <w:rFonts w:ascii="Arial" w:eastAsiaTheme="majorEastAsia" w:hAnsi="Arial" w:cstheme="majorBidi"/>
      <w:b/>
      <w:color w:val="000000" w:themeColor="text1"/>
      <w:spacing w:val="5"/>
      <w:kern w:val="2"/>
      <w:sz w:val="21"/>
      <w:szCs w:val="52"/>
      <w:shd w:val="clear" w:color="auto" w:fill="F2F2F2"/>
    </w:rPr>
  </w:style>
  <w:style w:type="character" w:customStyle="1" w:styleId="ExplorateurdedocumentsCar">
    <w:name w:val="Explorateur de documents Car"/>
    <w:basedOn w:val="Policepardfaut"/>
    <w:link w:val="Explorateurdedocuments"/>
    <w:uiPriority w:val="99"/>
    <w:semiHidden/>
    <w:qFormat/>
    <w:rsid w:val="005C155F"/>
    <w:rPr>
      <w:rFonts w:ascii="Tahoma" w:hAnsi="Tahoma" w:cs="Tahoma"/>
      <w:sz w:val="16"/>
      <w:szCs w:val="16"/>
    </w:rPr>
  </w:style>
  <w:style w:type="character" w:customStyle="1" w:styleId="Titre8Car">
    <w:name w:val="Titre 8 Car"/>
    <w:basedOn w:val="Policepardfaut"/>
    <w:link w:val="Titre8"/>
    <w:uiPriority w:val="9"/>
    <w:qFormat/>
    <w:rsid w:val="00162796"/>
    <w:rPr>
      <w:rFonts w:ascii="Arial" w:eastAsiaTheme="majorEastAsia" w:hAnsi="Arial" w:cstheme="majorBidi"/>
      <w:color w:val="404040" w:themeColor="text1" w:themeTint="BF"/>
      <w:sz w:val="21"/>
      <w:szCs w:val="20"/>
    </w:rPr>
  </w:style>
  <w:style w:type="character" w:customStyle="1" w:styleId="Titre7Car">
    <w:name w:val="Titre 7 Car"/>
    <w:basedOn w:val="Policepardfaut"/>
    <w:link w:val="Titre7"/>
    <w:uiPriority w:val="9"/>
    <w:qFormat/>
    <w:rsid w:val="005C155F"/>
    <w:rPr>
      <w:rFonts w:ascii="Arial" w:eastAsiaTheme="majorEastAsia" w:hAnsi="Arial" w:cstheme="majorBidi"/>
      <w:i/>
      <w:iCs/>
      <w:color w:val="000000" w:themeColor="text1"/>
      <w:sz w:val="20"/>
    </w:rPr>
  </w:style>
  <w:style w:type="character" w:customStyle="1" w:styleId="TextebrutCar">
    <w:name w:val="Texte brut Car"/>
    <w:basedOn w:val="Policepardfaut"/>
    <w:link w:val="Textebrut"/>
    <w:uiPriority w:val="99"/>
    <w:qFormat/>
    <w:rsid w:val="00D42192"/>
    <w:rPr>
      <w:rFonts w:ascii="Consolas" w:hAnsi="Consolas"/>
      <w:sz w:val="21"/>
      <w:szCs w:val="21"/>
      <w:lang w:val="en-US"/>
    </w:rPr>
  </w:style>
  <w:style w:type="character" w:customStyle="1" w:styleId="Titre9Car">
    <w:name w:val="Titre 9 Car"/>
    <w:basedOn w:val="Policepardfaut"/>
    <w:link w:val="Titre9"/>
    <w:uiPriority w:val="9"/>
    <w:qFormat/>
    <w:rsid w:val="004F166B"/>
    <w:rPr>
      <w:rFonts w:asciiTheme="majorHAnsi" w:eastAsiaTheme="majorEastAsia" w:hAnsiTheme="majorHAnsi" w:cstheme="majorBidi"/>
      <w:i/>
      <w:iCs/>
      <w:color w:val="404040" w:themeColor="text1" w:themeTint="BF"/>
      <w:sz w:val="20"/>
      <w:szCs w:val="20"/>
    </w:rPr>
  </w:style>
  <w:style w:type="character" w:customStyle="1" w:styleId="RetraitnormalCar">
    <w:name w:val="Retrait normal Car"/>
    <w:link w:val="Retraitnormal"/>
    <w:qFormat/>
    <w:rsid w:val="004F166B"/>
    <w:rPr>
      <w:rFonts w:ascii="Tahoma" w:eastAsia="Times New Roman" w:hAnsi="Tahoma" w:cs="Times New Roman"/>
      <w:sz w:val="18"/>
      <w:szCs w:val="20"/>
      <w:lang w:eastAsia="fr-FR"/>
    </w:rPr>
  </w:style>
  <w:style w:type="character" w:customStyle="1" w:styleId="Enum1Car">
    <w:name w:val="Enum1 Car"/>
    <w:basedOn w:val="Policepardfaut"/>
    <w:link w:val="Enum1"/>
    <w:qFormat/>
    <w:rsid w:val="004F166B"/>
    <w:rPr>
      <w:rFonts w:ascii="Tahoma" w:eastAsia="Times New Roman" w:hAnsi="Tahoma" w:cs="Times New Roman"/>
      <w:sz w:val="18"/>
      <w:szCs w:val="20"/>
      <w:lang w:eastAsia="fr-FR"/>
    </w:rPr>
  </w:style>
  <w:style w:type="character" w:customStyle="1" w:styleId="AlinaCar">
    <w:name w:val="Alinéa Car"/>
    <w:link w:val="Alina"/>
    <w:qFormat/>
    <w:rsid w:val="004F166B"/>
    <w:rPr>
      <w:rFonts w:ascii="Verdana" w:eastAsia="Times New Roman" w:hAnsi="Verdana" w:cs="Times New Roman"/>
      <w:smallCaps/>
      <w:sz w:val="24"/>
      <w:szCs w:val="20"/>
      <w:lang w:eastAsia="fr-FR"/>
    </w:rPr>
  </w:style>
  <w:style w:type="character" w:customStyle="1" w:styleId="Style6Car">
    <w:name w:val="Style6 Car"/>
    <w:basedOn w:val="Policepardfaut"/>
    <w:link w:val="Style6"/>
    <w:qFormat/>
    <w:rsid w:val="004F166B"/>
    <w:rPr>
      <w:rFonts w:ascii="Arial" w:eastAsia="Times New Roman" w:hAnsi="Arial" w:cs="Arial"/>
      <w:color w:val="000000"/>
    </w:rPr>
  </w:style>
  <w:style w:type="character" w:customStyle="1" w:styleId="Style7Car">
    <w:name w:val="Style7 Car"/>
    <w:basedOn w:val="Style6Car"/>
    <w:link w:val="Style7"/>
    <w:qFormat/>
    <w:rsid w:val="004F166B"/>
    <w:rPr>
      <w:rFonts w:ascii="Arial" w:eastAsia="Times New Roman" w:hAnsi="Arial" w:cs="Arial"/>
      <w:color w:val="000000"/>
    </w:rPr>
  </w:style>
  <w:style w:type="character" w:styleId="Marquedecommentaire">
    <w:name w:val="annotation reference"/>
    <w:basedOn w:val="Policepardfaut"/>
    <w:semiHidden/>
    <w:unhideWhenUsed/>
    <w:qFormat/>
    <w:rsid w:val="004F166B"/>
    <w:rPr>
      <w:sz w:val="16"/>
      <w:szCs w:val="16"/>
    </w:rPr>
  </w:style>
  <w:style w:type="character" w:customStyle="1" w:styleId="CommentaireCar">
    <w:name w:val="Commentaire Car"/>
    <w:basedOn w:val="Policepardfaut"/>
    <w:link w:val="Commentaire"/>
    <w:qFormat/>
    <w:rsid w:val="004F166B"/>
    <w:rPr>
      <w:rFonts w:ascii="Calibri" w:eastAsia="Times New Roman" w:hAnsi="Calibri"/>
      <w:sz w:val="20"/>
      <w:szCs w:val="20"/>
    </w:rPr>
  </w:style>
  <w:style w:type="character" w:customStyle="1" w:styleId="ObjetducommentaireCar">
    <w:name w:val="Objet du commentaire Car"/>
    <w:basedOn w:val="CommentaireCar"/>
    <w:link w:val="Objetducommentaire"/>
    <w:uiPriority w:val="99"/>
    <w:semiHidden/>
    <w:qFormat/>
    <w:rsid w:val="004F166B"/>
    <w:rPr>
      <w:rFonts w:ascii="Calibri" w:eastAsia="Times New Roman" w:hAnsi="Calibri"/>
      <w:b/>
      <w:bCs/>
      <w:sz w:val="20"/>
      <w:szCs w:val="20"/>
    </w:rPr>
  </w:style>
  <w:style w:type="character" w:customStyle="1" w:styleId="ParagraphedelisteCar">
    <w:name w:val="Paragraphe de liste Car"/>
    <w:link w:val="Paragraphedeliste"/>
    <w:uiPriority w:val="34"/>
    <w:qFormat/>
    <w:rsid w:val="004F166B"/>
    <w:rPr>
      <w:rFonts w:ascii="Arial" w:hAnsi="Arial"/>
      <w:sz w:val="21"/>
    </w:rPr>
  </w:style>
  <w:style w:type="character" w:customStyle="1" w:styleId="st">
    <w:name w:val="st"/>
    <w:basedOn w:val="Policepardfaut"/>
    <w:qFormat/>
    <w:rsid w:val="004F166B"/>
  </w:style>
  <w:style w:type="character" w:customStyle="1" w:styleId="Titre3Car1">
    <w:name w:val="Titre 3 Car1"/>
    <w:basedOn w:val="Policepardfaut"/>
    <w:semiHidden/>
    <w:qFormat/>
    <w:rsid w:val="004F166B"/>
    <w:rPr>
      <w:rFonts w:ascii="Cambria" w:eastAsia="Times New Roman" w:hAnsi="Cambria" w:cs="Times New Roman"/>
      <w:b/>
      <w:bCs/>
      <w:color w:val="4F81BD"/>
    </w:rPr>
  </w:style>
  <w:style w:type="character" w:customStyle="1" w:styleId="Titre5Car1">
    <w:name w:val="Titre 5 Car1"/>
    <w:basedOn w:val="Policepardfaut"/>
    <w:semiHidden/>
    <w:qFormat/>
    <w:rsid w:val="004F166B"/>
    <w:rPr>
      <w:rFonts w:ascii="Cambria" w:eastAsia="Times New Roman" w:hAnsi="Cambria" w:cs="Times New Roman"/>
      <w:color w:val="243F60"/>
    </w:rPr>
  </w:style>
  <w:style w:type="character" w:customStyle="1" w:styleId="Titre6Car1">
    <w:name w:val="Titre 6 Car1"/>
    <w:basedOn w:val="Policepardfaut"/>
    <w:semiHidden/>
    <w:qFormat/>
    <w:rsid w:val="004F166B"/>
    <w:rPr>
      <w:rFonts w:ascii="Cambria" w:eastAsia="Times New Roman" w:hAnsi="Cambria" w:cs="Times New Roman"/>
      <w:i/>
      <w:iCs/>
      <w:color w:val="243F60"/>
    </w:rPr>
  </w:style>
  <w:style w:type="character" w:customStyle="1" w:styleId="Sous-titreCar">
    <w:name w:val="Sous-titre Car"/>
    <w:basedOn w:val="Policepardfaut"/>
    <w:link w:val="Sous-titre"/>
    <w:uiPriority w:val="11"/>
    <w:qFormat/>
    <w:rsid w:val="004F166B"/>
    <w:rPr>
      <w:rFonts w:ascii="Calibri" w:eastAsia="Times New Roman" w:hAnsi="Calibri"/>
      <w:i/>
      <w:iCs/>
      <w:sz w:val="24"/>
      <w:szCs w:val="24"/>
    </w:rPr>
  </w:style>
  <w:style w:type="character" w:styleId="lev">
    <w:name w:val="Strong"/>
    <w:basedOn w:val="Policepardfaut"/>
    <w:uiPriority w:val="22"/>
    <w:qFormat/>
    <w:rsid w:val="004F166B"/>
    <w:rPr>
      <w:b/>
      <w:bCs/>
      <w:spacing w:val="0"/>
    </w:rPr>
  </w:style>
  <w:style w:type="character" w:customStyle="1" w:styleId="Accentuation1">
    <w:name w:val="Accentuation1"/>
    <w:uiPriority w:val="20"/>
    <w:qFormat/>
    <w:rsid w:val="004F166B"/>
    <w:rPr>
      <w:b/>
      <w:bCs/>
      <w:i/>
      <w:iCs/>
      <w:color w:val="5A5A5A"/>
    </w:rPr>
  </w:style>
  <w:style w:type="character" w:customStyle="1" w:styleId="SansinterligneCar">
    <w:name w:val="Sans interligne Car"/>
    <w:basedOn w:val="Policepardfaut"/>
    <w:link w:val="Sansinterligne"/>
    <w:uiPriority w:val="1"/>
    <w:qFormat/>
    <w:rsid w:val="004F166B"/>
    <w:rPr>
      <w:rFonts w:ascii="Arial" w:hAnsi="Arial"/>
    </w:rPr>
  </w:style>
  <w:style w:type="character" w:customStyle="1" w:styleId="CitationCar">
    <w:name w:val="Citation Car"/>
    <w:basedOn w:val="Policepardfaut"/>
    <w:link w:val="Citation"/>
    <w:uiPriority w:val="29"/>
    <w:qFormat/>
    <w:rsid w:val="004F166B"/>
    <w:rPr>
      <w:rFonts w:ascii="Cambria" w:eastAsia="Times New Roman" w:hAnsi="Cambria" w:cs="Times New Roman"/>
      <w:i/>
      <w:iCs/>
      <w:color w:val="5A5A5A"/>
    </w:rPr>
  </w:style>
  <w:style w:type="character" w:customStyle="1" w:styleId="CitationintenseCar">
    <w:name w:val="Citation intense Car"/>
    <w:basedOn w:val="Policepardfaut"/>
    <w:link w:val="Citationintense"/>
    <w:uiPriority w:val="30"/>
    <w:qFormat/>
    <w:rsid w:val="004F166B"/>
    <w:rPr>
      <w:rFonts w:ascii="Cambria" w:eastAsia="Times New Roman" w:hAnsi="Cambria" w:cs="Times New Roman"/>
      <w:i/>
      <w:iCs/>
      <w:color w:val="FFFFFF"/>
      <w:sz w:val="24"/>
      <w:szCs w:val="24"/>
    </w:rPr>
  </w:style>
  <w:style w:type="character" w:customStyle="1" w:styleId="Emphaseple1">
    <w:name w:val="Emphase pâle1"/>
    <w:uiPriority w:val="19"/>
    <w:qFormat/>
    <w:rsid w:val="004F166B"/>
    <w:rPr>
      <w:i/>
      <w:iCs/>
      <w:color w:val="5A5A5A"/>
    </w:rPr>
  </w:style>
  <w:style w:type="character" w:customStyle="1" w:styleId="Emphaseintense1">
    <w:name w:val="Emphase intense1"/>
    <w:uiPriority w:val="21"/>
    <w:qFormat/>
    <w:rsid w:val="004F166B"/>
    <w:rPr>
      <w:b/>
      <w:bCs/>
      <w:i/>
      <w:iCs/>
      <w:color w:val="4F81BD"/>
      <w:sz w:val="22"/>
      <w:szCs w:val="22"/>
    </w:rPr>
  </w:style>
  <w:style w:type="character" w:customStyle="1" w:styleId="Rfrenceple1">
    <w:name w:val="Référence pâle1"/>
    <w:uiPriority w:val="31"/>
    <w:qFormat/>
    <w:rsid w:val="004F166B"/>
    <w:rPr>
      <w:color w:val="auto"/>
      <w:u w:val="single" w:color="9BBB59"/>
    </w:rPr>
  </w:style>
  <w:style w:type="character" w:customStyle="1" w:styleId="Rfrenceintense1">
    <w:name w:val="Référence intense1"/>
    <w:basedOn w:val="Policepardfaut"/>
    <w:uiPriority w:val="32"/>
    <w:qFormat/>
    <w:rsid w:val="004F166B"/>
    <w:rPr>
      <w:b/>
      <w:bCs/>
      <w:color w:val="76923C"/>
      <w:u w:val="single" w:color="9BBB59"/>
    </w:rPr>
  </w:style>
  <w:style w:type="character" w:customStyle="1" w:styleId="Titredulivre1">
    <w:name w:val="Titre du livre1"/>
    <w:basedOn w:val="Policepardfaut"/>
    <w:uiPriority w:val="33"/>
    <w:qFormat/>
    <w:rsid w:val="004F166B"/>
    <w:rPr>
      <w:rFonts w:ascii="Cambria" w:eastAsia="Times New Roman" w:hAnsi="Cambria" w:cs="Times New Roman"/>
      <w:b/>
      <w:bCs/>
      <w:i/>
      <w:iCs/>
      <w:color w:val="auto"/>
    </w:rPr>
  </w:style>
  <w:style w:type="character" w:customStyle="1" w:styleId="AONormalCar">
    <w:name w:val="AO_Normal Car"/>
    <w:basedOn w:val="Policepardfaut"/>
    <w:link w:val="AONormal"/>
    <w:qFormat/>
    <w:rsid w:val="004F166B"/>
    <w:rPr>
      <w:rFonts w:ascii="Tahoma" w:eastAsia="Times New Roman" w:hAnsi="Tahoma" w:cs="Times New Roman"/>
      <w:sz w:val="18"/>
      <w:szCs w:val="20"/>
      <w:lang w:eastAsia="fr-FR"/>
    </w:rPr>
  </w:style>
  <w:style w:type="character" w:customStyle="1" w:styleId="Titre9Car1">
    <w:name w:val="Titre 9 Car1"/>
    <w:basedOn w:val="Policepardfaut"/>
    <w:uiPriority w:val="9"/>
    <w:semiHidden/>
    <w:qFormat/>
    <w:rsid w:val="004F166B"/>
    <w:rPr>
      <w:rFonts w:asciiTheme="majorHAnsi" w:eastAsiaTheme="majorEastAsia" w:hAnsiTheme="majorHAnsi" w:cstheme="majorBidi"/>
      <w:i/>
      <w:iCs/>
      <w:color w:val="404040" w:themeColor="text1" w:themeTint="BF"/>
      <w:sz w:val="20"/>
      <w:szCs w:val="20"/>
    </w:rPr>
  </w:style>
  <w:style w:type="character" w:styleId="Accentuation">
    <w:name w:val="Emphasis"/>
    <w:basedOn w:val="Policepardfaut"/>
    <w:uiPriority w:val="20"/>
    <w:qFormat/>
    <w:rsid w:val="004F166B"/>
    <w:rPr>
      <w:i/>
      <w:iCs/>
    </w:rPr>
  </w:style>
  <w:style w:type="character" w:customStyle="1" w:styleId="CitationCar1">
    <w:name w:val="Citation Car1"/>
    <w:basedOn w:val="Policepardfaut"/>
    <w:uiPriority w:val="29"/>
    <w:qFormat/>
    <w:rsid w:val="004F166B"/>
    <w:rPr>
      <w:rFonts w:ascii="Arial" w:hAnsi="Arial"/>
      <w:i/>
      <w:iCs/>
      <w:color w:val="000000" w:themeColor="text1"/>
      <w:sz w:val="21"/>
    </w:rPr>
  </w:style>
  <w:style w:type="character" w:customStyle="1" w:styleId="CitationintenseCar1">
    <w:name w:val="Citation intense Car1"/>
    <w:basedOn w:val="Policepardfaut"/>
    <w:uiPriority w:val="30"/>
    <w:qFormat/>
    <w:rsid w:val="004F166B"/>
    <w:rPr>
      <w:rFonts w:ascii="Arial" w:hAnsi="Arial"/>
      <w:b/>
      <w:bCs/>
      <w:i/>
      <w:iCs/>
      <w:color w:val="1F415A" w:themeColor="accent1"/>
      <w:sz w:val="21"/>
    </w:rPr>
  </w:style>
  <w:style w:type="character" w:styleId="Accentuationlgre">
    <w:name w:val="Subtle Emphasis"/>
    <w:basedOn w:val="Policepardfaut"/>
    <w:uiPriority w:val="19"/>
    <w:qFormat/>
    <w:rsid w:val="004F166B"/>
    <w:rPr>
      <w:i/>
      <w:iCs/>
      <w:color w:val="808080" w:themeColor="text1" w:themeTint="7F"/>
    </w:rPr>
  </w:style>
  <w:style w:type="character" w:styleId="Accentuationintense">
    <w:name w:val="Intense Emphasis"/>
    <w:basedOn w:val="Policepardfaut"/>
    <w:uiPriority w:val="21"/>
    <w:qFormat/>
    <w:rsid w:val="004F166B"/>
    <w:rPr>
      <w:b/>
      <w:bCs/>
      <w:i/>
      <w:iCs/>
      <w:color w:val="1F415A" w:themeColor="accent1"/>
    </w:rPr>
  </w:style>
  <w:style w:type="character" w:styleId="Rfrencelgre">
    <w:name w:val="Subtle Reference"/>
    <w:basedOn w:val="Policepardfaut"/>
    <w:uiPriority w:val="31"/>
    <w:qFormat/>
    <w:rsid w:val="004F166B"/>
    <w:rPr>
      <w:smallCaps/>
      <w:color w:val="F6F6F6" w:themeColor="accent2"/>
      <w:u w:val="single"/>
    </w:rPr>
  </w:style>
  <w:style w:type="character" w:styleId="Rfrenceintense">
    <w:name w:val="Intense Reference"/>
    <w:basedOn w:val="Policepardfaut"/>
    <w:uiPriority w:val="32"/>
    <w:qFormat/>
    <w:rsid w:val="004F166B"/>
    <w:rPr>
      <w:b/>
      <w:bCs/>
      <w:smallCaps/>
      <w:color w:val="F6F6F6" w:themeColor="accent2"/>
      <w:spacing w:val="5"/>
      <w:u w:val="single"/>
    </w:rPr>
  </w:style>
  <w:style w:type="character" w:styleId="Titredulivre">
    <w:name w:val="Book Title"/>
    <w:basedOn w:val="Policepardfaut"/>
    <w:uiPriority w:val="33"/>
    <w:qFormat/>
    <w:rsid w:val="004F166B"/>
    <w:rPr>
      <w:b/>
      <w:bCs/>
      <w:smallCaps/>
      <w:spacing w:val="5"/>
    </w:rPr>
  </w:style>
  <w:style w:type="character" w:customStyle="1" w:styleId="CorpsdetexteCar">
    <w:name w:val="Corps de texte Car"/>
    <w:basedOn w:val="Policepardfaut"/>
    <w:link w:val="Corpsdetexte"/>
    <w:uiPriority w:val="1"/>
    <w:qFormat/>
    <w:rsid w:val="003B1EC0"/>
    <w:rPr>
      <w:rFonts w:ascii="Calibri" w:eastAsia="Calibri" w:hAnsi="Calibri"/>
      <w:lang w:val="en-US"/>
    </w:rPr>
  </w:style>
  <w:style w:type="character" w:customStyle="1" w:styleId="Marquedecommentaire1">
    <w:name w:val="Marque de commentaire1"/>
    <w:qFormat/>
    <w:rsid w:val="00864D8E"/>
    <w:rPr>
      <w:sz w:val="16"/>
      <w:szCs w:val="16"/>
    </w:rPr>
  </w:style>
  <w:style w:type="character" w:customStyle="1" w:styleId="Mentionnonrsolue1">
    <w:name w:val="Mention non résolue1"/>
    <w:basedOn w:val="Policepardfaut"/>
    <w:uiPriority w:val="99"/>
    <w:semiHidden/>
    <w:unhideWhenUsed/>
    <w:qFormat/>
    <w:rsid w:val="00C22A34"/>
    <w:rPr>
      <w:color w:val="605E5C"/>
      <w:shd w:val="clear" w:color="auto" w:fill="E1DFDD"/>
    </w:rPr>
  </w:style>
  <w:style w:type="character" w:customStyle="1" w:styleId="GEN-Car">
    <w:name w:val="GEN- Car"/>
    <w:basedOn w:val="Policepardfaut"/>
    <w:link w:val="GEN-"/>
    <w:qFormat/>
    <w:rsid w:val="001B3AEE"/>
    <w:rPr>
      <w:rFonts w:ascii="Arial" w:eastAsia="Times New Roman" w:hAnsi="Arial" w:cs="Arial"/>
      <w:color w:val="000000"/>
      <w:sz w:val="21"/>
      <w:szCs w:val="24"/>
    </w:rPr>
  </w:style>
  <w:style w:type="character" w:customStyle="1" w:styleId="P101-ECar">
    <w:name w:val="P10.1-E Car"/>
    <w:basedOn w:val="Policepardfaut"/>
    <w:link w:val="P101-E"/>
    <w:qFormat/>
    <w:rsid w:val="007738AA"/>
    <w:rPr>
      <w:rFonts w:ascii="Arial" w:hAnsi="Arial" w:cs="Arial"/>
      <w:sz w:val="21"/>
    </w:rPr>
  </w:style>
  <w:style w:type="character" w:customStyle="1" w:styleId="NotaCar">
    <w:name w:val="Nota Car"/>
    <w:basedOn w:val="Policepardfaut"/>
    <w:link w:val="Nota"/>
    <w:qFormat/>
    <w:rsid w:val="00793D54"/>
    <w:rPr>
      <w:rFonts w:ascii="Times New Roman" w:eastAsia="Times New Roman" w:hAnsi="Times New Roman" w:cs="Times New Roman"/>
      <w:i/>
      <w:szCs w:val="32"/>
      <w:lang w:eastAsia="fr-FR"/>
    </w:rPr>
  </w:style>
  <w:style w:type="character" w:customStyle="1" w:styleId="puceCar">
    <w:name w:val="puce Car"/>
    <w:basedOn w:val="Policepardfaut"/>
    <w:link w:val="puce"/>
    <w:qFormat/>
    <w:rsid w:val="0051304D"/>
    <w:rPr>
      <w:rFonts w:eastAsia="Times New Roman" w:cs="Times New Roman"/>
      <w:szCs w:val="20"/>
      <w:lang w:eastAsia="fr-FR"/>
    </w:rPr>
  </w:style>
  <w:style w:type="character" w:styleId="Lienhypertextesuivivisit">
    <w:name w:val="FollowedHyperlink"/>
    <w:basedOn w:val="Policepardfaut"/>
    <w:uiPriority w:val="99"/>
    <w:semiHidden/>
    <w:unhideWhenUsed/>
    <w:rsid w:val="0037379D"/>
    <w:rPr>
      <w:color w:val="FFFFFF" w:themeColor="followedHyperlink"/>
      <w:u w:val="single"/>
    </w:rPr>
  </w:style>
  <w:style w:type="character" w:customStyle="1" w:styleId="Mentionnonrsolue2">
    <w:name w:val="Mention non résolue2"/>
    <w:basedOn w:val="Policepardfaut"/>
    <w:uiPriority w:val="99"/>
    <w:unhideWhenUsed/>
    <w:qFormat/>
    <w:rsid w:val="00BF5C52"/>
    <w:rPr>
      <w:color w:val="605E5C"/>
      <w:shd w:val="clear" w:color="auto" w:fill="E1DFDD"/>
    </w:rPr>
  </w:style>
  <w:style w:type="character" w:customStyle="1" w:styleId="uavc-list-desc">
    <w:name w:val="uavc-list-desc"/>
    <w:basedOn w:val="Policepardfaut"/>
    <w:qFormat/>
    <w:rsid w:val="004A511A"/>
  </w:style>
  <w:style w:type="character" w:customStyle="1" w:styleId="Corpsdetexte3Car">
    <w:name w:val="Corps de texte 3 Car"/>
    <w:basedOn w:val="Policepardfaut"/>
    <w:link w:val="Corpsdetexte3"/>
    <w:uiPriority w:val="99"/>
    <w:qFormat/>
    <w:rsid w:val="007C1E16"/>
    <w:rPr>
      <w:rFonts w:ascii="Times New Roman" w:eastAsia="Times New Roman" w:hAnsi="Times New Roman" w:cs="Times New Roman"/>
      <w:sz w:val="16"/>
      <w:szCs w:val="16"/>
      <w:lang w:eastAsia="fr-FR"/>
    </w:rPr>
  </w:style>
  <w:style w:type="character" w:customStyle="1" w:styleId="Style1Car">
    <w:name w:val="Style1 Car"/>
    <w:link w:val="Style1"/>
    <w:qFormat/>
    <w:rsid w:val="00075D31"/>
    <w:rPr>
      <w:rFonts w:ascii="Arial" w:hAnsi="Arial"/>
      <w:b/>
      <w:color w:val="0C283C"/>
      <w:sz w:val="36"/>
    </w:rPr>
  </w:style>
  <w:style w:type="character" w:customStyle="1" w:styleId="Mentionnonrsolue3">
    <w:name w:val="Mention non résolue3"/>
    <w:basedOn w:val="Policepardfaut"/>
    <w:uiPriority w:val="99"/>
    <w:semiHidden/>
    <w:unhideWhenUsed/>
    <w:qFormat/>
    <w:rsid w:val="002F2C7D"/>
    <w:rPr>
      <w:color w:val="605E5C"/>
      <w:shd w:val="clear" w:color="auto" w:fill="E1DFDD"/>
    </w:rPr>
  </w:style>
  <w:style w:type="character" w:customStyle="1" w:styleId="w8qarf">
    <w:name w:val="w8qarf"/>
    <w:basedOn w:val="Policepardfaut"/>
    <w:qFormat/>
    <w:rsid w:val="009153AC"/>
  </w:style>
  <w:style w:type="character" w:customStyle="1" w:styleId="lrzxr">
    <w:name w:val="lrzxr"/>
    <w:basedOn w:val="Policepardfaut"/>
    <w:qFormat/>
    <w:rsid w:val="009153AC"/>
  </w:style>
  <w:style w:type="character" w:customStyle="1" w:styleId="tlou0b">
    <w:name w:val="tlou0b"/>
    <w:basedOn w:val="Policepardfaut"/>
    <w:qFormat/>
    <w:rsid w:val="009153AC"/>
  </w:style>
  <w:style w:type="character" w:customStyle="1" w:styleId="Mentionnonrsolue4">
    <w:name w:val="Mention non résolue4"/>
    <w:basedOn w:val="Policepardfaut"/>
    <w:uiPriority w:val="99"/>
    <w:semiHidden/>
    <w:unhideWhenUsed/>
    <w:qFormat/>
    <w:rsid w:val="00033AB2"/>
    <w:rPr>
      <w:color w:val="605E5C"/>
      <w:shd w:val="clear" w:color="auto" w:fill="E1DFDD"/>
    </w:rPr>
  </w:style>
  <w:style w:type="character" w:customStyle="1" w:styleId="IndexLink">
    <w:name w:val="Index Link"/>
    <w:qFormat/>
  </w:style>
  <w:style w:type="paragraph" w:customStyle="1" w:styleId="Heading">
    <w:name w:val="Heading"/>
    <w:basedOn w:val="Normal"/>
    <w:next w:val="Corpsdetexte"/>
    <w:qFormat/>
    <w:pPr>
      <w:keepNext/>
      <w:spacing w:before="240" w:after="120"/>
    </w:pPr>
    <w:rPr>
      <w:rFonts w:ascii="Liberation Sans" w:eastAsia="Noto Sans CJK SC" w:hAnsi="Liberation Sans" w:cs="DejaVu Sans"/>
      <w:sz w:val="28"/>
      <w:szCs w:val="28"/>
    </w:rPr>
  </w:style>
  <w:style w:type="paragraph" w:styleId="Corpsdetexte">
    <w:name w:val="Body Text"/>
    <w:basedOn w:val="Normal"/>
    <w:link w:val="CorpsdetexteCar"/>
    <w:uiPriority w:val="1"/>
    <w:qFormat/>
    <w:rsid w:val="003B1EC0"/>
    <w:pPr>
      <w:widowControl w:val="0"/>
      <w:spacing w:before="60" w:after="0" w:line="240" w:lineRule="auto"/>
      <w:ind w:left="898" w:hanging="360"/>
      <w:jc w:val="left"/>
    </w:pPr>
    <w:rPr>
      <w:rFonts w:ascii="Calibri" w:eastAsia="Calibri" w:hAnsi="Calibri"/>
      <w:sz w:val="22"/>
      <w:lang w:val="en-US"/>
    </w:rPr>
  </w:style>
  <w:style w:type="paragraph" w:styleId="Liste">
    <w:name w:val="List"/>
    <w:basedOn w:val="Corpsdetexte"/>
    <w:rPr>
      <w:rFonts w:cs="DejaVu Sans"/>
    </w:rPr>
  </w:style>
  <w:style w:type="paragraph" w:styleId="Lgende">
    <w:name w:val="caption"/>
    <w:basedOn w:val="Normal"/>
    <w:next w:val="Normal"/>
    <w:unhideWhenUsed/>
    <w:qFormat/>
    <w:rsid w:val="004F166B"/>
    <w:pPr>
      <w:spacing w:line="240" w:lineRule="auto"/>
    </w:pPr>
    <w:rPr>
      <w:b/>
      <w:bCs/>
      <w:color w:val="1F415A" w:themeColor="accent1"/>
      <w:sz w:val="18"/>
      <w:szCs w:val="18"/>
    </w:rPr>
  </w:style>
  <w:style w:type="paragraph" w:customStyle="1" w:styleId="Index">
    <w:name w:val="Index"/>
    <w:basedOn w:val="Normal"/>
    <w:qFormat/>
    <w:pPr>
      <w:suppressLineNumbers/>
    </w:pPr>
    <w:rPr>
      <w:rFonts w:cs="DejaVu Sans"/>
    </w:rPr>
  </w:style>
  <w:style w:type="paragraph" w:styleId="Paragraphedeliste">
    <w:name w:val="List Paragraph"/>
    <w:basedOn w:val="Normal"/>
    <w:link w:val="ParagraphedelisteCar"/>
    <w:uiPriority w:val="34"/>
    <w:qFormat/>
    <w:rsid w:val="005C155F"/>
    <w:pPr>
      <w:ind w:left="720"/>
      <w:contextualSpacing/>
    </w:pPr>
  </w:style>
  <w:style w:type="paragraph" w:styleId="Sansinterligne">
    <w:name w:val="No Spacing"/>
    <w:link w:val="SansinterligneCar"/>
    <w:uiPriority w:val="1"/>
    <w:qFormat/>
    <w:rsid w:val="005C155F"/>
    <w:pPr>
      <w:ind w:left="851"/>
    </w:pPr>
    <w:rPr>
      <w:rFonts w:ascii="Arial" w:hAnsi="Arial"/>
    </w:rPr>
  </w:style>
  <w:style w:type="paragraph" w:customStyle="1" w:styleId="HeaderandFooter">
    <w:name w:val="Header and Footer"/>
    <w:basedOn w:val="Normal"/>
    <w:qFormat/>
  </w:style>
  <w:style w:type="paragraph" w:styleId="En-tte">
    <w:name w:val="header"/>
    <w:basedOn w:val="Normal"/>
    <w:link w:val="En-tteCar"/>
    <w:uiPriority w:val="99"/>
    <w:unhideWhenUsed/>
    <w:rsid w:val="005C155F"/>
    <w:pPr>
      <w:tabs>
        <w:tab w:val="center" w:pos="4536"/>
        <w:tab w:val="right" w:pos="9072"/>
      </w:tabs>
      <w:spacing w:after="0" w:line="240" w:lineRule="auto"/>
    </w:pPr>
  </w:style>
  <w:style w:type="paragraph" w:styleId="Pieddepage">
    <w:name w:val="footer"/>
    <w:basedOn w:val="Normal"/>
    <w:link w:val="PieddepageCar"/>
    <w:uiPriority w:val="99"/>
    <w:unhideWhenUsed/>
    <w:rsid w:val="005C155F"/>
    <w:pPr>
      <w:tabs>
        <w:tab w:val="center" w:pos="4536"/>
        <w:tab w:val="right" w:pos="9072"/>
      </w:tabs>
      <w:spacing w:after="0" w:line="240" w:lineRule="auto"/>
    </w:pPr>
  </w:style>
  <w:style w:type="paragraph" w:customStyle="1" w:styleId="BasicParagraph">
    <w:name w:val="[Basic Paragraph]"/>
    <w:basedOn w:val="Normal"/>
    <w:uiPriority w:val="99"/>
    <w:qFormat/>
    <w:rsid w:val="005C155F"/>
    <w:pPr>
      <w:spacing w:after="0" w:line="288" w:lineRule="auto"/>
      <w:textAlignment w:val="center"/>
    </w:pPr>
    <w:rPr>
      <w:rFonts w:ascii="Minion Pro" w:hAnsi="Minion Pro" w:cs="Minion Pro"/>
      <w:color w:val="000000"/>
      <w:sz w:val="24"/>
      <w:szCs w:val="24"/>
    </w:rPr>
  </w:style>
  <w:style w:type="paragraph" w:styleId="Textedebulles">
    <w:name w:val="Balloon Text"/>
    <w:basedOn w:val="Normal"/>
    <w:link w:val="TextedebullesCar"/>
    <w:uiPriority w:val="99"/>
    <w:semiHidden/>
    <w:unhideWhenUsed/>
    <w:qFormat/>
    <w:rsid w:val="005C155F"/>
    <w:pPr>
      <w:spacing w:after="0" w:line="240" w:lineRule="auto"/>
    </w:pPr>
    <w:rPr>
      <w:rFonts w:ascii="Segoe UI" w:hAnsi="Segoe UI" w:cs="Segoe UI"/>
      <w:sz w:val="18"/>
      <w:szCs w:val="18"/>
    </w:rPr>
  </w:style>
  <w:style w:type="paragraph" w:customStyle="1" w:styleId="NoParagraphStyle">
    <w:name w:val="[No Paragraph Style]"/>
    <w:qFormat/>
    <w:rsid w:val="005C155F"/>
    <w:pPr>
      <w:spacing w:line="288" w:lineRule="auto"/>
      <w:textAlignment w:val="center"/>
    </w:pPr>
    <w:rPr>
      <w:rFonts w:ascii="Minion Pro" w:eastAsia="Calibri" w:hAnsi="Minion Pro" w:cs="Minion Pro"/>
      <w:color w:val="000000"/>
      <w:sz w:val="24"/>
      <w:szCs w:val="24"/>
    </w:rPr>
  </w:style>
  <w:style w:type="paragraph" w:styleId="Retraitnormal">
    <w:name w:val="Normal Indent"/>
    <w:basedOn w:val="Normal"/>
    <w:link w:val="RetraitnormalCar"/>
    <w:qFormat/>
    <w:rsid w:val="005C155F"/>
    <w:pPr>
      <w:keepLines/>
      <w:spacing w:before="120" w:after="0" w:line="240" w:lineRule="auto"/>
      <w:ind w:left="1276"/>
    </w:pPr>
    <w:rPr>
      <w:rFonts w:ascii="Tahoma" w:eastAsia="Times New Roman" w:hAnsi="Tahoma" w:cs="Times New Roman"/>
      <w:sz w:val="18"/>
      <w:szCs w:val="20"/>
      <w:lang w:eastAsia="fr-FR"/>
    </w:rPr>
  </w:style>
  <w:style w:type="paragraph" w:styleId="TM2">
    <w:name w:val="toc 2"/>
    <w:basedOn w:val="Titre2"/>
    <w:next w:val="Normal"/>
    <w:autoRedefine/>
    <w:uiPriority w:val="39"/>
    <w:unhideWhenUsed/>
    <w:rsid w:val="005C155F"/>
    <w:pPr>
      <w:keepNext w:val="0"/>
      <w:keepLines w:val="0"/>
      <w:spacing w:before="0" w:after="0"/>
      <w:ind w:left="210"/>
      <w:outlineLvl w:val="9"/>
    </w:pPr>
    <w:rPr>
      <w:rFonts w:asciiTheme="minorHAnsi" w:eastAsiaTheme="minorHAnsi" w:hAnsiTheme="minorHAnsi" w:cstheme="minorBidi"/>
      <w:b w:val="0"/>
      <w:smallCaps/>
      <w:color w:val="auto"/>
      <w:sz w:val="20"/>
      <w:szCs w:val="20"/>
    </w:rPr>
  </w:style>
  <w:style w:type="paragraph" w:styleId="TM1">
    <w:name w:val="toc 1"/>
    <w:basedOn w:val="Titre1"/>
    <w:next w:val="Normal"/>
    <w:autoRedefine/>
    <w:uiPriority w:val="39"/>
    <w:unhideWhenUsed/>
    <w:rsid w:val="003864BD"/>
    <w:pPr>
      <w:keepNext w:val="0"/>
      <w:keepLines w:val="0"/>
      <w:pageBreakBefore w:val="0"/>
      <w:pBdr>
        <w:bottom w:val="nil"/>
      </w:pBdr>
      <w:spacing w:before="60" w:after="60"/>
      <w:outlineLvl w:val="9"/>
    </w:pPr>
    <w:rPr>
      <w:rFonts w:asciiTheme="minorHAnsi" w:eastAsiaTheme="minorHAnsi" w:hAnsiTheme="minorHAnsi" w:cstheme="minorBidi"/>
      <w:bCs/>
      <w:color w:val="auto"/>
      <w:sz w:val="20"/>
      <w:szCs w:val="20"/>
    </w:rPr>
  </w:style>
  <w:style w:type="paragraph" w:styleId="TM3">
    <w:name w:val="toc 3"/>
    <w:basedOn w:val="Titre3"/>
    <w:next w:val="Normal"/>
    <w:autoRedefine/>
    <w:uiPriority w:val="39"/>
    <w:unhideWhenUsed/>
    <w:rsid w:val="005C155F"/>
    <w:pPr>
      <w:keepNext w:val="0"/>
      <w:keepLines w:val="0"/>
      <w:numPr>
        <w:ilvl w:val="0"/>
        <w:numId w:val="0"/>
      </w:numPr>
      <w:spacing w:before="0" w:after="0"/>
      <w:ind w:left="420"/>
      <w:outlineLvl w:val="9"/>
    </w:pPr>
    <w:rPr>
      <w:rFonts w:asciiTheme="minorHAnsi" w:eastAsiaTheme="minorHAnsi" w:hAnsiTheme="minorHAnsi" w:cstheme="minorBidi"/>
      <w:b w:val="0"/>
      <w:i/>
      <w:iCs/>
      <w:color w:val="auto"/>
      <w:sz w:val="20"/>
      <w:szCs w:val="20"/>
    </w:rPr>
  </w:style>
  <w:style w:type="paragraph" w:styleId="TM4">
    <w:name w:val="toc 4"/>
    <w:basedOn w:val="Titre4"/>
    <w:next w:val="Normal"/>
    <w:autoRedefine/>
    <w:uiPriority w:val="39"/>
    <w:unhideWhenUsed/>
    <w:rsid w:val="005C155F"/>
    <w:pPr>
      <w:keepNext w:val="0"/>
      <w:keepLines w:val="0"/>
      <w:numPr>
        <w:ilvl w:val="0"/>
        <w:numId w:val="0"/>
      </w:numPr>
      <w:spacing w:before="0" w:after="0"/>
      <w:ind w:left="630"/>
      <w:outlineLvl w:val="9"/>
    </w:pPr>
    <w:rPr>
      <w:rFonts w:asciiTheme="minorHAnsi" w:eastAsiaTheme="minorHAnsi" w:hAnsiTheme="minorHAnsi" w:cstheme="minorBidi"/>
      <w:b w:val="0"/>
      <w:iCs w:val="0"/>
      <w:smallCaps w:val="0"/>
      <w:color w:val="auto"/>
      <w:sz w:val="18"/>
      <w:szCs w:val="18"/>
    </w:rPr>
  </w:style>
  <w:style w:type="paragraph" w:styleId="TM5">
    <w:name w:val="toc 5"/>
    <w:basedOn w:val="Titre5"/>
    <w:next w:val="Normal"/>
    <w:autoRedefine/>
    <w:uiPriority w:val="39"/>
    <w:unhideWhenUsed/>
    <w:rsid w:val="005C155F"/>
    <w:pPr>
      <w:keepNext w:val="0"/>
      <w:keepLines w:val="0"/>
      <w:numPr>
        <w:ilvl w:val="0"/>
        <w:numId w:val="0"/>
      </w:numPr>
      <w:spacing w:before="0" w:after="0"/>
      <w:ind w:left="840"/>
      <w:outlineLvl w:val="9"/>
    </w:pPr>
    <w:rPr>
      <w:rFonts w:asciiTheme="minorHAnsi" w:eastAsiaTheme="minorHAnsi" w:hAnsiTheme="minorHAnsi" w:cstheme="minorBidi"/>
      <w:color w:val="auto"/>
      <w:sz w:val="18"/>
      <w:szCs w:val="18"/>
    </w:rPr>
  </w:style>
  <w:style w:type="paragraph" w:styleId="Notedebasdepage">
    <w:name w:val="footnote text"/>
    <w:basedOn w:val="Normal"/>
    <w:link w:val="NotedebasdepageCar"/>
    <w:unhideWhenUsed/>
    <w:qFormat/>
    <w:rsid w:val="005C155F"/>
    <w:pPr>
      <w:pBdr>
        <w:left w:val="single" w:sz="24" w:space="4" w:color="000000"/>
      </w:pBdr>
      <w:spacing w:after="0" w:line="240" w:lineRule="auto"/>
      <w:ind w:left="170"/>
    </w:pPr>
    <w:rPr>
      <w:sz w:val="18"/>
      <w:szCs w:val="20"/>
    </w:rPr>
  </w:style>
  <w:style w:type="paragraph" w:styleId="Notedefin">
    <w:name w:val="endnote text"/>
    <w:basedOn w:val="Normal"/>
    <w:link w:val="NotedefinCar"/>
    <w:uiPriority w:val="99"/>
    <w:unhideWhenUsed/>
    <w:rsid w:val="005C155F"/>
    <w:pPr>
      <w:spacing w:after="0" w:line="240" w:lineRule="auto"/>
    </w:pPr>
    <w:rPr>
      <w:sz w:val="20"/>
      <w:szCs w:val="20"/>
    </w:rPr>
  </w:style>
  <w:style w:type="paragraph" w:styleId="Titre">
    <w:name w:val="Title"/>
    <w:basedOn w:val="Normal"/>
    <w:next w:val="Normal"/>
    <w:link w:val="TitreCar"/>
    <w:uiPriority w:val="10"/>
    <w:qFormat/>
    <w:rsid w:val="000C72B2"/>
    <w:pPr>
      <w:numPr>
        <w:numId w:val="3"/>
      </w:numPr>
      <w:shd w:val="clear" w:color="auto" w:fill="F2F2F2" w:themeFill="background1" w:themeFillShade="F2"/>
      <w:spacing w:before="200" w:line="240" w:lineRule="auto"/>
      <w:contextualSpacing/>
      <w:jc w:val="left"/>
    </w:pPr>
    <w:rPr>
      <w:rFonts w:eastAsiaTheme="majorEastAsia" w:cstheme="majorBidi"/>
      <w:b/>
      <w:color w:val="000000" w:themeColor="text1"/>
      <w:spacing w:val="5"/>
      <w:kern w:val="2"/>
      <w:szCs w:val="52"/>
    </w:rPr>
  </w:style>
  <w:style w:type="paragraph" w:styleId="Explorateurdedocuments">
    <w:name w:val="Document Map"/>
    <w:basedOn w:val="Normal"/>
    <w:link w:val="ExplorateurdedocumentsCar"/>
    <w:uiPriority w:val="99"/>
    <w:semiHidden/>
    <w:unhideWhenUsed/>
    <w:qFormat/>
    <w:rsid w:val="005C155F"/>
    <w:pPr>
      <w:spacing w:after="0" w:line="240" w:lineRule="auto"/>
    </w:pPr>
    <w:rPr>
      <w:rFonts w:ascii="Tahoma" w:hAnsi="Tahoma" w:cs="Tahoma"/>
      <w:sz w:val="16"/>
      <w:szCs w:val="16"/>
    </w:rPr>
  </w:style>
  <w:style w:type="paragraph" w:styleId="Listepuces">
    <w:name w:val="List Bullet"/>
    <w:basedOn w:val="Normal"/>
    <w:autoRedefine/>
    <w:uiPriority w:val="99"/>
    <w:unhideWhenUsed/>
    <w:qFormat/>
    <w:rsid w:val="00C20212"/>
    <w:pPr>
      <w:numPr>
        <w:numId w:val="12"/>
      </w:numPr>
      <w:spacing w:line="240" w:lineRule="auto"/>
      <w:contextualSpacing/>
    </w:pPr>
    <w:rPr>
      <w:sz w:val="22"/>
    </w:rPr>
  </w:style>
  <w:style w:type="paragraph" w:styleId="Listepuces2">
    <w:name w:val="List Bullet 2"/>
    <w:basedOn w:val="Listepuces"/>
    <w:autoRedefine/>
    <w:uiPriority w:val="99"/>
    <w:unhideWhenUsed/>
    <w:qFormat/>
    <w:rsid w:val="00315FC2"/>
    <w:pPr>
      <w:numPr>
        <w:numId w:val="1"/>
      </w:numPr>
    </w:pPr>
  </w:style>
  <w:style w:type="paragraph" w:styleId="Listepuces3">
    <w:name w:val="List Bullet 3"/>
    <w:basedOn w:val="Listepuces2"/>
    <w:autoRedefine/>
    <w:uiPriority w:val="99"/>
    <w:unhideWhenUsed/>
    <w:qFormat/>
    <w:rsid w:val="00F44716"/>
    <w:pPr>
      <w:numPr>
        <w:numId w:val="6"/>
      </w:numPr>
    </w:pPr>
    <w:rPr>
      <w:b/>
    </w:rPr>
  </w:style>
  <w:style w:type="paragraph" w:customStyle="1" w:styleId="TipText">
    <w:name w:val="Tip Text"/>
    <w:basedOn w:val="Normal"/>
    <w:uiPriority w:val="99"/>
    <w:qFormat/>
    <w:rsid w:val="005C155F"/>
    <w:pPr>
      <w:spacing w:before="160" w:after="160" w:line="264" w:lineRule="auto"/>
      <w:ind w:right="576"/>
    </w:pPr>
    <w:rPr>
      <w:rFonts w:asciiTheme="majorHAnsi" w:eastAsiaTheme="majorEastAsia" w:hAnsiTheme="majorHAnsi" w:cstheme="majorBidi"/>
      <w:i/>
      <w:iCs/>
      <w:color w:val="00A194" w:themeColor="text2"/>
      <w:sz w:val="16"/>
      <w:szCs w:val="16"/>
      <w:lang w:val="en-US" w:eastAsia="ja-JP"/>
    </w:rPr>
  </w:style>
  <w:style w:type="paragraph" w:customStyle="1" w:styleId="Icon">
    <w:name w:val="Icon"/>
    <w:basedOn w:val="Normal"/>
    <w:uiPriority w:val="99"/>
    <w:unhideWhenUsed/>
    <w:qFormat/>
    <w:rsid w:val="005C155F"/>
    <w:pPr>
      <w:spacing w:before="160" w:after="160" w:line="240" w:lineRule="auto"/>
      <w:jc w:val="center"/>
    </w:pPr>
    <w:rPr>
      <w:rFonts w:asciiTheme="minorHAnsi" w:eastAsiaTheme="minorEastAsia" w:hAnsiTheme="minorHAnsi"/>
      <w:color w:val="00A194" w:themeColor="text2"/>
      <w:sz w:val="20"/>
      <w:szCs w:val="20"/>
      <w:lang w:val="en-US" w:eastAsia="ja-JP"/>
    </w:rPr>
  </w:style>
  <w:style w:type="paragraph" w:styleId="Titreindex">
    <w:name w:val="index heading"/>
    <w:basedOn w:val="Heading"/>
  </w:style>
  <w:style w:type="paragraph" w:styleId="En-ttedetabledesmatires">
    <w:name w:val="TOC Heading"/>
    <w:basedOn w:val="Titre1"/>
    <w:next w:val="Normal"/>
    <w:uiPriority w:val="39"/>
    <w:unhideWhenUsed/>
    <w:qFormat/>
    <w:rsid w:val="005C155F"/>
    <w:pPr>
      <w:pageBreakBefore w:val="0"/>
      <w:spacing w:before="480" w:after="0" w:line="276" w:lineRule="auto"/>
      <w:outlineLvl w:val="9"/>
    </w:pPr>
    <w:rPr>
      <w:rFonts w:asciiTheme="majorHAnsi" w:hAnsiTheme="majorHAnsi"/>
      <w:bCs/>
      <w:color w:val="173043" w:themeColor="accent1" w:themeShade="BF"/>
      <w:sz w:val="28"/>
      <w:szCs w:val="28"/>
    </w:rPr>
  </w:style>
  <w:style w:type="paragraph" w:styleId="Listenumros5">
    <w:name w:val="List Number 5"/>
    <w:basedOn w:val="Normal"/>
    <w:uiPriority w:val="99"/>
    <w:unhideWhenUsed/>
    <w:qFormat/>
    <w:rsid w:val="005C155F"/>
    <w:pPr>
      <w:numPr>
        <w:numId w:val="2"/>
      </w:numPr>
      <w:spacing w:before="200"/>
      <w:jc w:val="left"/>
    </w:pPr>
    <w:rPr>
      <w:b/>
    </w:rPr>
  </w:style>
  <w:style w:type="paragraph" w:styleId="TM6">
    <w:name w:val="toc 6"/>
    <w:basedOn w:val="Normal"/>
    <w:next w:val="Normal"/>
    <w:autoRedefine/>
    <w:uiPriority w:val="39"/>
    <w:unhideWhenUsed/>
    <w:rsid w:val="005C155F"/>
    <w:pPr>
      <w:spacing w:after="0"/>
      <w:ind w:left="1050"/>
      <w:jc w:val="left"/>
    </w:pPr>
    <w:rPr>
      <w:rFonts w:asciiTheme="minorHAnsi" w:hAnsiTheme="minorHAnsi"/>
      <w:sz w:val="18"/>
      <w:szCs w:val="18"/>
    </w:rPr>
  </w:style>
  <w:style w:type="paragraph" w:styleId="TM7">
    <w:name w:val="toc 7"/>
    <w:basedOn w:val="Normal"/>
    <w:next w:val="Normal"/>
    <w:autoRedefine/>
    <w:uiPriority w:val="39"/>
    <w:unhideWhenUsed/>
    <w:rsid w:val="005C155F"/>
    <w:pPr>
      <w:spacing w:after="0"/>
      <w:ind w:left="1260"/>
      <w:jc w:val="left"/>
    </w:pPr>
    <w:rPr>
      <w:rFonts w:asciiTheme="minorHAnsi" w:hAnsiTheme="minorHAnsi"/>
      <w:sz w:val="18"/>
      <w:szCs w:val="18"/>
    </w:rPr>
  </w:style>
  <w:style w:type="paragraph" w:styleId="TM8">
    <w:name w:val="toc 8"/>
    <w:basedOn w:val="Normal"/>
    <w:next w:val="Normal"/>
    <w:autoRedefine/>
    <w:uiPriority w:val="39"/>
    <w:unhideWhenUsed/>
    <w:rsid w:val="005C155F"/>
    <w:pPr>
      <w:spacing w:after="0"/>
      <w:ind w:left="1470"/>
      <w:jc w:val="left"/>
    </w:pPr>
    <w:rPr>
      <w:rFonts w:asciiTheme="minorHAnsi" w:hAnsiTheme="minorHAnsi"/>
      <w:sz w:val="18"/>
      <w:szCs w:val="18"/>
    </w:rPr>
  </w:style>
  <w:style w:type="paragraph" w:styleId="TM9">
    <w:name w:val="toc 9"/>
    <w:basedOn w:val="Normal"/>
    <w:next w:val="Normal"/>
    <w:autoRedefine/>
    <w:uiPriority w:val="39"/>
    <w:unhideWhenUsed/>
    <w:rsid w:val="005C155F"/>
    <w:pPr>
      <w:spacing w:after="0"/>
      <w:ind w:left="1680"/>
      <w:jc w:val="left"/>
    </w:pPr>
    <w:rPr>
      <w:rFonts w:asciiTheme="minorHAnsi" w:hAnsiTheme="minorHAnsi"/>
      <w:sz w:val="18"/>
      <w:szCs w:val="18"/>
    </w:rPr>
  </w:style>
  <w:style w:type="paragraph" w:styleId="Tabledesillustrations">
    <w:name w:val="table of figures"/>
    <w:basedOn w:val="Normal"/>
    <w:next w:val="Normal"/>
    <w:uiPriority w:val="99"/>
    <w:unhideWhenUsed/>
    <w:rsid w:val="005C155F"/>
    <w:pPr>
      <w:spacing w:after="0"/>
    </w:pPr>
  </w:style>
  <w:style w:type="paragraph" w:styleId="Textebrut">
    <w:name w:val="Plain Text"/>
    <w:basedOn w:val="Normal"/>
    <w:link w:val="TextebrutCar"/>
    <w:uiPriority w:val="99"/>
    <w:unhideWhenUsed/>
    <w:qFormat/>
    <w:rsid w:val="00D42192"/>
    <w:pPr>
      <w:spacing w:after="0" w:line="240" w:lineRule="auto"/>
    </w:pPr>
    <w:rPr>
      <w:rFonts w:ascii="Consolas" w:hAnsi="Consolas"/>
      <w:szCs w:val="21"/>
      <w:lang w:val="en-US"/>
    </w:rPr>
  </w:style>
  <w:style w:type="paragraph" w:customStyle="1" w:styleId="Totaljour1">
    <w:name w:val="Total jour1"/>
    <w:basedOn w:val="Normal"/>
    <w:next w:val="Normal"/>
    <w:uiPriority w:val="9"/>
    <w:unhideWhenUsed/>
    <w:qFormat/>
    <w:rsid w:val="004F166B"/>
    <w:pPr>
      <w:spacing w:before="320" w:after="100" w:line="240" w:lineRule="auto"/>
      <w:jc w:val="left"/>
      <w:outlineLvl w:val="8"/>
    </w:pPr>
    <w:rPr>
      <w:rFonts w:ascii="Cambria" w:eastAsia="Times New Roman" w:hAnsi="Cambria" w:cs="Times New Roman"/>
      <w:i/>
      <w:iCs/>
      <w:color w:val="9BBB59"/>
      <w:sz w:val="20"/>
      <w:szCs w:val="20"/>
    </w:rPr>
  </w:style>
  <w:style w:type="paragraph" w:customStyle="1" w:styleId="Enum1">
    <w:name w:val="Enum1"/>
    <w:basedOn w:val="Normal"/>
    <w:link w:val="Enum1Car"/>
    <w:qFormat/>
    <w:rsid w:val="004F166B"/>
    <w:pPr>
      <w:keepLines/>
      <w:numPr>
        <w:numId w:val="7"/>
      </w:numPr>
      <w:spacing w:before="120" w:after="0" w:line="240" w:lineRule="auto"/>
      <w:ind w:left="1985" w:hanging="425"/>
    </w:pPr>
    <w:rPr>
      <w:rFonts w:ascii="Tahoma" w:eastAsia="Times New Roman" w:hAnsi="Tahoma" w:cs="Times New Roman"/>
      <w:sz w:val="18"/>
      <w:szCs w:val="20"/>
      <w:lang w:eastAsia="fr-FR"/>
    </w:rPr>
  </w:style>
  <w:style w:type="paragraph" w:customStyle="1" w:styleId="Alina">
    <w:name w:val="Alinéa"/>
    <w:basedOn w:val="Normal"/>
    <w:link w:val="AlinaCar"/>
    <w:qFormat/>
    <w:rsid w:val="004F166B"/>
    <w:pPr>
      <w:keepLines/>
      <w:spacing w:before="240" w:after="0" w:line="240" w:lineRule="auto"/>
      <w:ind w:firstLine="360"/>
      <w:jc w:val="left"/>
    </w:pPr>
    <w:rPr>
      <w:rFonts w:ascii="Verdana" w:eastAsia="Times New Roman" w:hAnsi="Verdana" w:cs="Times New Roman"/>
      <w:smallCaps/>
      <w:sz w:val="24"/>
      <w:szCs w:val="20"/>
      <w:lang w:eastAsia="fr-FR"/>
    </w:rPr>
  </w:style>
  <w:style w:type="paragraph" w:customStyle="1" w:styleId="Style6">
    <w:name w:val="Style6"/>
    <w:basedOn w:val="Normal"/>
    <w:link w:val="Style6Car"/>
    <w:qFormat/>
    <w:rsid w:val="004F166B"/>
    <w:pPr>
      <w:numPr>
        <w:numId w:val="9"/>
      </w:numPr>
      <w:spacing w:before="60" w:after="60" w:line="240" w:lineRule="auto"/>
      <w:ind w:left="714" w:hanging="357"/>
    </w:pPr>
    <w:rPr>
      <w:rFonts w:eastAsia="Times New Roman" w:cs="Arial"/>
      <w:color w:val="000000"/>
      <w:sz w:val="22"/>
    </w:rPr>
  </w:style>
  <w:style w:type="paragraph" w:customStyle="1" w:styleId="Style7">
    <w:name w:val="Style7"/>
    <w:basedOn w:val="Style6"/>
    <w:link w:val="Style7Car"/>
    <w:qFormat/>
    <w:rsid w:val="004F166B"/>
    <w:pPr>
      <w:numPr>
        <w:ilvl w:val="1"/>
        <w:numId w:val="8"/>
      </w:numPr>
      <w:ind w:left="1434" w:hanging="357"/>
    </w:pPr>
  </w:style>
  <w:style w:type="paragraph" w:customStyle="1" w:styleId="Rvision1">
    <w:name w:val="Révision1"/>
    <w:next w:val="Rvision"/>
    <w:uiPriority w:val="99"/>
    <w:semiHidden/>
    <w:qFormat/>
    <w:rsid w:val="004F166B"/>
    <w:pPr>
      <w:ind w:firstLine="360"/>
    </w:pPr>
    <w:rPr>
      <w:rFonts w:eastAsia="Times New Roman"/>
    </w:rPr>
  </w:style>
  <w:style w:type="paragraph" w:styleId="Commentaire">
    <w:name w:val="annotation text"/>
    <w:basedOn w:val="Normal"/>
    <w:link w:val="CommentaireCar"/>
    <w:unhideWhenUsed/>
    <w:rsid w:val="004F166B"/>
    <w:pPr>
      <w:spacing w:after="0" w:line="240" w:lineRule="auto"/>
      <w:ind w:firstLine="360"/>
      <w:jc w:val="left"/>
    </w:pPr>
    <w:rPr>
      <w:rFonts w:ascii="Calibri" w:eastAsia="Times New Roman" w:hAnsi="Calibri"/>
      <w:sz w:val="20"/>
      <w:szCs w:val="20"/>
    </w:rPr>
  </w:style>
  <w:style w:type="paragraph" w:styleId="Objetducommentaire">
    <w:name w:val="annotation subject"/>
    <w:basedOn w:val="Commentaire"/>
    <w:next w:val="Commentaire"/>
    <w:link w:val="ObjetducommentaireCar"/>
    <w:uiPriority w:val="99"/>
    <w:semiHidden/>
    <w:unhideWhenUsed/>
    <w:qFormat/>
    <w:rsid w:val="004F166B"/>
    <w:rPr>
      <w:b/>
      <w:bCs/>
    </w:rPr>
  </w:style>
  <w:style w:type="paragraph" w:styleId="Sous-titre">
    <w:name w:val="Subtitle"/>
    <w:basedOn w:val="Normal"/>
    <w:next w:val="Normal"/>
    <w:link w:val="Sous-titreCar"/>
    <w:uiPriority w:val="11"/>
    <w:qFormat/>
    <w:rsid w:val="004F166B"/>
    <w:pPr>
      <w:spacing w:before="200" w:after="900" w:line="240" w:lineRule="auto"/>
      <w:jc w:val="right"/>
    </w:pPr>
    <w:rPr>
      <w:rFonts w:ascii="Calibri" w:eastAsia="Times New Roman" w:hAnsi="Calibri"/>
      <w:i/>
      <w:iCs/>
      <w:sz w:val="24"/>
      <w:szCs w:val="24"/>
    </w:rPr>
  </w:style>
  <w:style w:type="paragraph" w:customStyle="1" w:styleId="Citation1">
    <w:name w:val="Citation1"/>
    <w:basedOn w:val="Normal"/>
    <w:next w:val="Normal"/>
    <w:uiPriority w:val="29"/>
    <w:qFormat/>
    <w:rsid w:val="004F166B"/>
    <w:pPr>
      <w:spacing w:after="0" w:line="240" w:lineRule="auto"/>
      <w:ind w:firstLine="360"/>
      <w:jc w:val="left"/>
    </w:pPr>
    <w:rPr>
      <w:rFonts w:ascii="Cambria" w:eastAsia="Times New Roman" w:hAnsi="Cambria" w:cs="Times New Roman"/>
      <w:i/>
      <w:iCs/>
      <w:color w:val="5A5A5A"/>
      <w:sz w:val="22"/>
    </w:rPr>
  </w:style>
  <w:style w:type="paragraph" w:customStyle="1" w:styleId="Citationintense1">
    <w:name w:val="Citation intense1"/>
    <w:basedOn w:val="Normal"/>
    <w:next w:val="Normal"/>
    <w:uiPriority w:val="30"/>
    <w:qFormat/>
    <w:rsid w:val="004F166B"/>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eastAsia="Times New Roman" w:hAnsi="Cambria" w:cs="Times New Roman"/>
      <w:i/>
      <w:iCs/>
      <w:color w:val="FFFFFF"/>
      <w:sz w:val="24"/>
      <w:szCs w:val="24"/>
    </w:rPr>
  </w:style>
  <w:style w:type="paragraph" w:customStyle="1" w:styleId="AONormal">
    <w:name w:val="AO_Normal"/>
    <w:basedOn w:val="Retraitnormal"/>
    <w:link w:val="AONormalCar"/>
    <w:qFormat/>
    <w:rsid w:val="004F166B"/>
  </w:style>
  <w:style w:type="paragraph" w:styleId="Rvision">
    <w:name w:val="Revision"/>
    <w:uiPriority w:val="99"/>
    <w:semiHidden/>
    <w:qFormat/>
    <w:rsid w:val="004F166B"/>
    <w:rPr>
      <w:rFonts w:ascii="Arial" w:hAnsi="Arial"/>
      <w:sz w:val="21"/>
    </w:rPr>
  </w:style>
  <w:style w:type="paragraph" w:styleId="Citation">
    <w:name w:val="Quote"/>
    <w:basedOn w:val="Normal"/>
    <w:next w:val="Normal"/>
    <w:link w:val="CitationCar"/>
    <w:uiPriority w:val="29"/>
    <w:qFormat/>
    <w:rsid w:val="004F166B"/>
    <w:rPr>
      <w:rFonts w:ascii="Cambria" w:eastAsia="Times New Roman" w:hAnsi="Cambria" w:cs="Times New Roman"/>
      <w:i/>
      <w:iCs/>
      <w:color w:val="5A5A5A"/>
      <w:sz w:val="22"/>
    </w:rPr>
  </w:style>
  <w:style w:type="paragraph" w:styleId="Citationintense">
    <w:name w:val="Intense Quote"/>
    <w:basedOn w:val="Normal"/>
    <w:next w:val="Normal"/>
    <w:link w:val="CitationintenseCar"/>
    <w:uiPriority w:val="30"/>
    <w:qFormat/>
    <w:rsid w:val="004F166B"/>
    <w:pPr>
      <w:pBdr>
        <w:bottom w:val="single" w:sz="4" w:space="4" w:color="1F415A" w:themeColor="accent1"/>
      </w:pBdr>
      <w:spacing w:before="200" w:after="280"/>
      <w:ind w:left="936" w:right="936"/>
    </w:pPr>
    <w:rPr>
      <w:rFonts w:ascii="Cambria" w:eastAsia="Times New Roman" w:hAnsi="Cambria" w:cs="Times New Roman"/>
      <w:i/>
      <w:iCs/>
      <w:color w:val="FFFFFF"/>
      <w:sz w:val="24"/>
      <w:szCs w:val="24"/>
    </w:rPr>
  </w:style>
  <w:style w:type="paragraph" w:styleId="Listepuces4">
    <w:name w:val="List Bullet 4"/>
    <w:basedOn w:val="Normal"/>
    <w:uiPriority w:val="99"/>
    <w:unhideWhenUsed/>
    <w:rsid w:val="00726FCE"/>
    <w:pPr>
      <w:numPr>
        <w:numId w:val="10"/>
      </w:numPr>
      <w:contextualSpacing/>
    </w:pPr>
  </w:style>
  <w:style w:type="paragraph" w:styleId="Listepuces5">
    <w:name w:val="List Bullet 5"/>
    <w:basedOn w:val="Normal"/>
    <w:unhideWhenUsed/>
    <w:rsid w:val="00107F72"/>
    <w:pPr>
      <w:numPr>
        <w:numId w:val="11"/>
      </w:numPr>
      <w:contextualSpacing/>
    </w:pPr>
  </w:style>
  <w:style w:type="paragraph" w:customStyle="1" w:styleId="TableParagraph">
    <w:name w:val="Table Paragraph"/>
    <w:basedOn w:val="Normal"/>
    <w:uiPriority w:val="1"/>
    <w:qFormat/>
    <w:rsid w:val="001E26B2"/>
    <w:pPr>
      <w:widowControl w:val="0"/>
      <w:spacing w:after="0" w:line="240" w:lineRule="auto"/>
      <w:jc w:val="left"/>
    </w:pPr>
    <w:rPr>
      <w:rFonts w:asciiTheme="minorHAnsi" w:hAnsiTheme="minorHAnsi"/>
      <w:sz w:val="22"/>
      <w:lang w:val="en-US"/>
    </w:rPr>
  </w:style>
  <w:style w:type="paragraph" w:customStyle="1" w:styleId="Style1">
    <w:name w:val="Style1"/>
    <w:basedOn w:val="Normal"/>
    <w:link w:val="Style1Car"/>
    <w:qFormat/>
    <w:rsid w:val="00CA0A1C"/>
    <w:rPr>
      <w:b/>
      <w:color w:val="0C283C"/>
      <w:sz w:val="36"/>
    </w:rPr>
  </w:style>
  <w:style w:type="paragraph" w:customStyle="1" w:styleId="Default">
    <w:name w:val="Default"/>
    <w:qFormat/>
    <w:rsid w:val="00D33C52"/>
    <w:rPr>
      <w:rFonts w:ascii="Calibri" w:eastAsia="Times New Roman" w:hAnsi="Calibri" w:cs="Calibri"/>
      <w:color w:val="000000"/>
      <w:sz w:val="24"/>
      <w:szCs w:val="24"/>
    </w:rPr>
  </w:style>
  <w:style w:type="paragraph" w:customStyle="1" w:styleId="Numero">
    <w:name w:val="Numero"/>
    <w:basedOn w:val="Normal"/>
    <w:qFormat/>
    <w:rsid w:val="00864D8E"/>
    <w:pPr>
      <w:numPr>
        <w:numId w:val="13"/>
      </w:numPr>
      <w:spacing w:after="0" w:line="240" w:lineRule="auto"/>
      <w:jc w:val="left"/>
    </w:pPr>
    <w:rPr>
      <w:rFonts w:ascii="Times New Roman" w:eastAsia="Times New Roman" w:hAnsi="Times New Roman" w:cs="Times New Roman"/>
      <w:sz w:val="24"/>
      <w:szCs w:val="24"/>
      <w:lang w:eastAsia="fr-FR"/>
    </w:rPr>
  </w:style>
  <w:style w:type="paragraph" w:customStyle="1" w:styleId="Commentaire2">
    <w:name w:val="Commentaire2"/>
    <w:basedOn w:val="Normal"/>
    <w:qFormat/>
    <w:rsid w:val="00864D8E"/>
    <w:pPr>
      <w:spacing w:before="240" w:after="0" w:line="240" w:lineRule="auto"/>
    </w:pPr>
    <w:rPr>
      <w:rFonts w:ascii="Times New Roman" w:eastAsia="Times New Roman" w:hAnsi="Times New Roman" w:cs="Times New Roman"/>
      <w:sz w:val="20"/>
      <w:szCs w:val="24"/>
      <w:lang w:eastAsia="ar-SA"/>
    </w:rPr>
  </w:style>
  <w:style w:type="paragraph" w:customStyle="1" w:styleId="Paragraphedeliste1">
    <w:name w:val="Paragraphe de liste1"/>
    <w:basedOn w:val="Normal"/>
    <w:qFormat/>
    <w:rsid w:val="00864D8E"/>
    <w:pPr>
      <w:spacing w:before="60" w:after="60" w:line="240" w:lineRule="auto"/>
      <w:ind w:left="720"/>
      <w:contextualSpacing/>
    </w:pPr>
    <w:rPr>
      <w:rFonts w:eastAsia="Times New Roman" w:cs="Times New Roman"/>
      <w:sz w:val="22"/>
      <w:szCs w:val="24"/>
      <w:lang w:eastAsia="fr-FR"/>
    </w:rPr>
  </w:style>
  <w:style w:type="paragraph" w:customStyle="1" w:styleId="NormalTableau">
    <w:name w:val="NormalTableau"/>
    <w:basedOn w:val="Normal"/>
    <w:qFormat/>
    <w:rsid w:val="00864D8E"/>
    <w:pPr>
      <w:spacing w:before="120" w:after="120" w:line="240" w:lineRule="auto"/>
      <w:ind w:left="67" w:firstLine="18"/>
      <w:jc w:val="left"/>
    </w:pPr>
    <w:rPr>
      <w:rFonts w:ascii="Times New Roman" w:eastAsia="Times New Roman" w:hAnsi="Times New Roman" w:cs="Times New Roman"/>
      <w:sz w:val="24"/>
      <w:szCs w:val="24"/>
      <w:lang w:eastAsia="fr-FR"/>
    </w:rPr>
  </w:style>
  <w:style w:type="paragraph" w:customStyle="1" w:styleId="Commentaire1">
    <w:name w:val="Commentaire1"/>
    <w:basedOn w:val="Normal"/>
    <w:qFormat/>
    <w:rsid w:val="00864D8E"/>
    <w:pPr>
      <w:spacing w:before="240" w:after="0" w:line="240" w:lineRule="auto"/>
    </w:pPr>
    <w:rPr>
      <w:rFonts w:ascii="Times New Roman" w:eastAsia="Times New Roman" w:hAnsi="Times New Roman" w:cs="Times New Roman"/>
      <w:sz w:val="20"/>
      <w:szCs w:val="24"/>
      <w:lang w:eastAsia="ar-SA"/>
    </w:rPr>
  </w:style>
  <w:style w:type="paragraph" w:customStyle="1" w:styleId="Pieddepage1">
    <w:name w:val="Pied de page1"/>
    <w:basedOn w:val="Normal"/>
    <w:qFormat/>
    <w:rsid w:val="002B7438"/>
    <w:pPr>
      <w:tabs>
        <w:tab w:val="center" w:pos="4536"/>
        <w:tab w:val="right" w:pos="9072"/>
      </w:tabs>
      <w:overflowPunct w:val="0"/>
      <w:spacing w:after="0" w:line="240" w:lineRule="auto"/>
    </w:pPr>
    <w:rPr>
      <w:rFonts w:eastAsia="Calibri" w:cs="Tahoma"/>
    </w:rPr>
  </w:style>
  <w:style w:type="paragraph" w:customStyle="1" w:styleId="En-tte1">
    <w:name w:val="En-tête1"/>
    <w:basedOn w:val="Normal"/>
    <w:qFormat/>
    <w:rsid w:val="00AD61C0"/>
    <w:pPr>
      <w:tabs>
        <w:tab w:val="center" w:pos="4536"/>
        <w:tab w:val="right" w:pos="9072"/>
      </w:tabs>
      <w:overflowPunct w:val="0"/>
      <w:spacing w:after="0" w:line="240" w:lineRule="auto"/>
    </w:pPr>
    <w:rPr>
      <w:rFonts w:eastAsia="Calibri" w:cs="Tahoma"/>
    </w:rPr>
  </w:style>
  <w:style w:type="paragraph" w:customStyle="1" w:styleId="GEN">
    <w:name w:val="GEN"/>
    <w:basedOn w:val="Default"/>
    <w:qFormat/>
    <w:rsid w:val="004E132A"/>
    <w:pPr>
      <w:numPr>
        <w:numId w:val="14"/>
      </w:numPr>
    </w:pPr>
    <w:rPr>
      <w:rFonts w:ascii="Arial" w:hAnsi="Arial" w:cs="Arial"/>
      <w:sz w:val="21"/>
    </w:rPr>
  </w:style>
  <w:style w:type="paragraph" w:customStyle="1" w:styleId="GEN-">
    <w:name w:val="GEN-"/>
    <w:next w:val="NoParagraphStyle"/>
    <w:link w:val="GEN-Car"/>
    <w:qFormat/>
    <w:rsid w:val="001B3AEE"/>
    <w:pPr>
      <w:numPr>
        <w:numId w:val="15"/>
      </w:numPr>
      <w:spacing w:after="160" w:line="259" w:lineRule="auto"/>
      <w:ind w:left="357" w:hanging="357"/>
    </w:pPr>
    <w:rPr>
      <w:rFonts w:ascii="Arial" w:eastAsia="Times New Roman" w:hAnsi="Arial" w:cs="Arial"/>
      <w:color w:val="000000"/>
      <w:sz w:val="21"/>
      <w:szCs w:val="24"/>
    </w:rPr>
  </w:style>
  <w:style w:type="paragraph" w:customStyle="1" w:styleId="P101-E">
    <w:name w:val="P10.1-E"/>
    <w:basedOn w:val="Normal"/>
    <w:next w:val="NoParagraphStyle"/>
    <w:link w:val="P101-ECar"/>
    <w:qFormat/>
    <w:rsid w:val="007738AA"/>
    <w:pPr>
      <w:numPr>
        <w:numId w:val="16"/>
      </w:numPr>
    </w:pPr>
    <w:rPr>
      <w:rFonts w:cs="Arial"/>
    </w:rPr>
  </w:style>
  <w:style w:type="paragraph" w:customStyle="1" w:styleId="Eximana">
    <w:name w:val="Exi mana"/>
    <w:basedOn w:val="Normal"/>
    <w:uiPriority w:val="99"/>
    <w:qFormat/>
    <w:rsid w:val="00126B7C"/>
    <w:pPr>
      <w:numPr>
        <w:numId w:val="17"/>
      </w:numPr>
      <w:spacing w:before="120" w:after="240" w:line="240" w:lineRule="auto"/>
    </w:pPr>
    <w:rPr>
      <w:rFonts w:ascii="Times New Roman" w:eastAsia="Times New Roman" w:hAnsi="Times New Roman" w:cs="Times New Roman"/>
      <w:sz w:val="22"/>
      <w:szCs w:val="20"/>
      <w:lang w:eastAsia="fr-FR"/>
    </w:rPr>
  </w:style>
  <w:style w:type="paragraph" w:customStyle="1" w:styleId="puce5">
    <w:name w:val="puce 5"/>
    <w:basedOn w:val="Normal"/>
    <w:qFormat/>
    <w:rsid w:val="00793D54"/>
    <w:pPr>
      <w:numPr>
        <w:numId w:val="18"/>
      </w:numPr>
      <w:tabs>
        <w:tab w:val="left" w:pos="1560"/>
      </w:tabs>
      <w:spacing w:after="120" w:line="260" w:lineRule="atLeast"/>
      <w:ind w:left="1560" w:right="284" w:hanging="284"/>
    </w:pPr>
    <w:rPr>
      <w:rFonts w:asciiTheme="minorHAnsi" w:eastAsia="Times New Roman" w:hAnsiTheme="minorHAnsi" w:cs="Times New Roman"/>
      <w:sz w:val="22"/>
      <w:szCs w:val="20"/>
      <w:lang w:eastAsia="fr-FR"/>
    </w:rPr>
  </w:style>
  <w:style w:type="paragraph" w:customStyle="1" w:styleId="Nota">
    <w:name w:val="Nota"/>
    <w:basedOn w:val="Normal"/>
    <w:link w:val="NotaCar"/>
    <w:qFormat/>
    <w:rsid w:val="00793D54"/>
    <w:pPr>
      <w:tabs>
        <w:tab w:val="left" w:pos="851"/>
      </w:tabs>
      <w:spacing w:before="120" w:after="240" w:line="240" w:lineRule="auto"/>
      <w:ind w:left="851" w:hanging="851"/>
    </w:pPr>
    <w:rPr>
      <w:rFonts w:ascii="Times New Roman" w:eastAsia="Times New Roman" w:hAnsi="Times New Roman" w:cs="Times New Roman"/>
      <w:i/>
      <w:sz w:val="22"/>
      <w:szCs w:val="32"/>
      <w:lang w:eastAsia="fr-FR"/>
    </w:rPr>
  </w:style>
  <w:style w:type="paragraph" w:customStyle="1" w:styleId="puce">
    <w:name w:val="puce"/>
    <w:basedOn w:val="Normal"/>
    <w:link w:val="puceCar"/>
    <w:qFormat/>
    <w:rsid w:val="0051304D"/>
    <w:pPr>
      <w:numPr>
        <w:numId w:val="19"/>
      </w:numPr>
      <w:spacing w:after="120" w:line="260" w:lineRule="atLeast"/>
      <w:ind w:right="284"/>
    </w:pPr>
    <w:rPr>
      <w:rFonts w:asciiTheme="minorHAnsi" w:eastAsia="Times New Roman" w:hAnsiTheme="minorHAnsi" w:cs="Times New Roman"/>
      <w:sz w:val="22"/>
      <w:szCs w:val="20"/>
      <w:lang w:eastAsia="fr-FR"/>
    </w:rPr>
  </w:style>
  <w:style w:type="paragraph" w:styleId="NormalWeb">
    <w:name w:val="Normal (Web)"/>
    <w:basedOn w:val="Normal"/>
    <w:uiPriority w:val="99"/>
    <w:semiHidden/>
    <w:unhideWhenUsed/>
    <w:qFormat/>
    <w:rsid w:val="00CF387A"/>
    <w:pPr>
      <w:spacing w:beforeAutospacing="1" w:afterAutospacing="1" w:line="240" w:lineRule="auto"/>
      <w:jc w:val="left"/>
    </w:pPr>
    <w:rPr>
      <w:rFonts w:ascii="Times New Roman" w:eastAsia="Times New Roman" w:hAnsi="Times New Roman" w:cs="Times New Roman"/>
      <w:sz w:val="24"/>
      <w:szCs w:val="24"/>
      <w:lang w:eastAsia="fr-FR"/>
    </w:rPr>
  </w:style>
  <w:style w:type="paragraph" w:styleId="Corpsdetexte3">
    <w:name w:val="Body Text 3"/>
    <w:basedOn w:val="Normal"/>
    <w:link w:val="Corpsdetexte3Car"/>
    <w:uiPriority w:val="99"/>
    <w:unhideWhenUsed/>
    <w:qFormat/>
    <w:rsid w:val="007C1E16"/>
    <w:pPr>
      <w:spacing w:after="120" w:line="240" w:lineRule="auto"/>
      <w:jc w:val="left"/>
    </w:pPr>
    <w:rPr>
      <w:rFonts w:ascii="Times New Roman" w:eastAsia="Times New Roman" w:hAnsi="Times New Roman" w:cs="Times New Roman"/>
      <w:sz w:val="16"/>
      <w:szCs w:val="16"/>
      <w:lang w:eastAsia="fr-FR"/>
    </w:rPr>
  </w:style>
  <w:style w:type="paragraph" w:customStyle="1" w:styleId="PP">
    <w:name w:val="PàP"/>
    <w:basedOn w:val="Normal"/>
    <w:next w:val="Normal"/>
    <w:autoRedefine/>
    <w:qFormat/>
    <w:rsid w:val="00FB68F8"/>
    <w:pPr>
      <w:numPr>
        <w:numId w:val="20"/>
      </w:numPr>
      <w:tabs>
        <w:tab w:val="left" w:pos="-4962"/>
      </w:tabs>
      <w:spacing w:before="240" w:after="0" w:line="240" w:lineRule="auto"/>
      <w:ind w:right="-1"/>
    </w:pPr>
    <w:rPr>
      <w:rFonts w:ascii="Times New Roman" w:eastAsia="Times New Roman" w:hAnsi="Times New Roman" w:cs="Times New Roman"/>
      <w:sz w:val="22"/>
      <w:lang w:eastAsia="fr-FR"/>
    </w:rPr>
  </w:style>
  <w:style w:type="paragraph" w:customStyle="1" w:styleId="NUMTIRETLETTRE3">
    <w:name w:val="ÉNUM. TIRET LETTRE (3)"/>
    <w:basedOn w:val="Normal"/>
    <w:autoRedefine/>
    <w:qFormat/>
    <w:rsid w:val="00A96999"/>
    <w:pPr>
      <w:numPr>
        <w:numId w:val="21"/>
      </w:numPr>
      <w:tabs>
        <w:tab w:val="left" w:pos="851"/>
      </w:tabs>
      <w:spacing w:before="100" w:after="0" w:line="300" w:lineRule="atLeast"/>
      <w:ind w:left="0" w:firstLine="0"/>
    </w:pPr>
    <w:rPr>
      <w:rFonts w:asciiTheme="minorHAnsi" w:hAnsiTheme="minorHAnsi" w:cs="Calibri"/>
      <w:sz w:val="22"/>
    </w:rPr>
  </w:style>
  <w:style w:type="paragraph" w:customStyle="1" w:styleId="Textebrut1">
    <w:name w:val="Texte brut1"/>
    <w:basedOn w:val="Normal"/>
    <w:qFormat/>
    <w:rsid w:val="006D472D"/>
    <w:pPr>
      <w:spacing w:after="0" w:line="240" w:lineRule="auto"/>
      <w:jc w:val="left"/>
    </w:pPr>
    <w:rPr>
      <w:rFonts w:ascii="Courier New" w:eastAsia="Times New Roman" w:hAnsi="Courier New" w:cs="Times New Roman"/>
      <w:sz w:val="20"/>
      <w:szCs w:val="20"/>
      <w:lang w:eastAsia="fr-FR"/>
    </w:rPr>
  </w:style>
  <w:style w:type="numbering" w:customStyle="1" w:styleId="NetXP">
    <w:name w:val="NetXP"/>
    <w:uiPriority w:val="99"/>
    <w:qFormat/>
    <w:rsid w:val="005C155F"/>
  </w:style>
  <w:style w:type="numbering" w:customStyle="1" w:styleId="Aucuneliste1">
    <w:name w:val="Aucune liste1"/>
    <w:uiPriority w:val="99"/>
    <w:semiHidden/>
    <w:unhideWhenUsed/>
    <w:qFormat/>
    <w:rsid w:val="004F166B"/>
  </w:style>
  <w:style w:type="numbering" w:customStyle="1" w:styleId="StyleAvecpuces">
    <w:name w:val="Style Avec puces"/>
    <w:qFormat/>
    <w:rsid w:val="004F166B"/>
  </w:style>
  <w:style w:type="table" w:styleId="Grilledutableau">
    <w:name w:val="Table Grid"/>
    <w:basedOn w:val="TableauNormal"/>
    <w:rsid w:val="005C15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couleur-Accent6">
    <w:name w:val="Colorful Grid Accent 6"/>
    <w:basedOn w:val="TableauNormal"/>
    <w:uiPriority w:val="73"/>
    <w:rsid w:val="005C155F"/>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customStyle="1" w:styleId="TipTable">
    <w:name w:val="Tip Table"/>
    <w:basedOn w:val="TableauNormal"/>
    <w:uiPriority w:val="99"/>
    <w:rsid w:val="005C155F"/>
    <w:rPr>
      <w:rFonts w:eastAsiaTheme="minorEastAsia"/>
      <w:color w:val="404040" w:themeColor="text1" w:themeTint="BF"/>
      <w:sz w:val="18"/>
      <w:szCs w:val="18"/>
      <w:lang w:val="en-US" w:eastAsia="ja-JP"/>
    </w:rPr>
    <w:tblPr>
      <w:tblCellMar>
        <w:top w:w="144" w:type="dxa"/>
        <w:left w:w="0" w:type="dxa"/>
        <w:right w:w="0" w:type="dxa"/>
      </w:tblCellMar>
    </w:tblPr>
    <w:tcPr>
      <w:shd w:val="clear" w:color="auto" w:fill="C4DAEB" w:themeFill="accent1" w:themeFillTint="33"/>
    </w:tcPr>
    <w:tblStylePr w:type="firstCol">
      <w:pPr>
        <w:wordWrap/>
        <w:jc w:val="center"/>
      </w:pPr>
    </w:tblStylePr>
  </w:style>
  <w:style w:type="table" w:styleId="Grillecouleur-Accent5">
    <w:name w:val="Colorful Grid Accent 5"/>
    <w:basedOn w:val="TableauNormal"/>
    <w:uiPriority w:val="73"/>
    <w:rsid w:val="005C155F"/>
    <w:rPr>
      <w:color w:val="000000" w:themeColor="text1"/>
    </w:rPr>
    <w:tblPr>
      <w:tblStyleRowBandSize w:val="1"/>
      <w:tblStyleColBandSize w:val="1"/>
      <w:tblBorders>
        <w:insideH w:val="single" w:sz="4" w:space="0" w:color="FFFFFF" w:themeColor="background1"/>
      </w:tblBorders>
    </w:tblPr>
    <w:tcPr>
      <w:shd w:val="clear" w:color="auto" w:fill="D8D7DF" w:themeFill="accent5" w:themeFillTint="33"/>
    </w:tcPr>
    <w:tblStylePr w:type="firstRow">
      <w:rPr>
        <w:b/>
        <w:bCs/>
      </w:rPr>
      <w:tblPr/>
      <w:tcPr>
        <w:shd w:val="clear" w:color="auto" w:fill="B1B0BF" w:themeFill="accent5" w:themeFillTint="66"/>
      </w:tcPr>
    </w:tblStylePr>
    <w:tblStylePr w:type="lastRow">
      <w:rPr>
        <w:b/>
        <w:bCs/>
        <w:color w:val="000000" w:themeColor="text1"/>
      </w:rPr>
      <w:tblPr/>
      <w:tcPr>
        <w:shd w:val="clear" w:color="auto" w:fill="B1B0BF" w:themeFill="accent5" w:themeFillTint="66"/>
      </w:tcPr>
    </w:tblStylePr>
    <w:tblStylePr w:type="firstCol">
      <w:rPr>
        <w:color w:val="FFFFFF" w:themeColor="background1"/>
      </w:rPr>
      <w:tblPr/>
      <w:tcPr>
        <w:shd w:val="clear" w:color="auto" w:fill="35333F" w:themeFill="accent5" w:themeFillShade="BF"/>
      </w:tcPr>
    </w:tblStylePr>
    <w:tblStylePr w:type="lastCol">
      <w:rPr>
        <w:color w:val="FFFFFF" w:themeColor="background1"/>
      </w:rPr>
      <w:tblPr/>
      <w:tcPr>
        <w:shd w:val="clear" w:color="auto" w:fill="35333F" w:themeFill="accent5" w:themeFillShade="BF"/>
      </w:tcPr>
    </w:tblStylePr>
    <w:tblStylePr w:type="band1Vert">
      <w:tblPr/>
      <w:tcPr>
        <w:shd w:val="clear" w:color="auto" w:fill="9F9DAF" w:themeFill="accent5" w:themeFillTint="7F"/>
      </w:tcPr>
    </w:tblStylePr>
    <w:tblStylePr w:type="band1Horz">
      <w:tblPr/>
      <w:tcPr>
        <w:shd w:val="clear" w:color="auto" w:fill="9F9DAF" w:themeFill="accent5" w:themeFillTint="7F"/>
      </w:tcPr>
    </w:tblStylePr>
  </w:style>
  <w:style w:type="table" w:customStyle="1" w:styleId="TableauNetXP">
    <w:name w:val="Tableau NetXP"/>
    <w:basedOn w:val="TableauNormal"/>
    <w:uiPriority w:val="99"/>
    <w:qFormat/>
    <w:rsid w:val="005C155F"/>
    <w:pPr>
      <w:jc w:val="center"/>
    </w:pPr>
    <w:rPr>
      <w:color w:val="000000" w:themeColor="text1"/>
      <w:sz w:val="21"/>
    </w:rPr>
    <w:tblP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top w:w="85" w:type="dxa"/>
        <w:bottom w:w="85" w:type="dxa"/>
      </w:tblCellMar>
    </w:tblPr>
    <w:tcPr>
      <w:vAlign w:val="center"/>
    </w:tcPr>
    <w:tblStylePr w:type="firstRow">
      <w:pPr>
        <w:wordWrap/>
        <w:spacing w:beforeLines="0" w:afterLines="0"/>
      </w:pPr>
      <w:rPr>
        <w:b/>
        <w:caps/>
        <w:smallCaps w:val="0"/>
        <w:color w:val="FFFFFF" w:themeColor="background1"/>
        <w:sz w:val="21"/>
      </w:rPr>
      <w:tblPr/>
      <w:tcPr>
        <w:shd w:val="clear" w:color="auto" w:fill="1F415A"/>
      </w:tcPr>
    </w:tblStylePr>
    <w:tblStylePr w:type="firstCol">
      <w:pPr>
        <w:jc w:val="left"/>
      </w:pPr>
      <w:rPr>
        <w:color w:val="000000" w:themeColor="text1"/>
        <w:sz w:val="21"/>
      </w:rPr>
      <w:tblPr/>
      <w:tcPr>
        <w:shd w:val="clear" w:color="auto" w:fill="F6F6F6"/>
      </w:tcPr>
    </w:tblStylePr>
    <w:tblStylePr w:type="seCell">
      <w:rPr>
        <w:b w:val="0"/>
        <w:color w:val="FFFFFF" w:themeColor="background1"/>
        <w:sz w:val="21"/>
      </w:rPr>
      <w:tblPr/>
      <w:tcPr>
        <w:shd w:val="clear" w:color="auto" w:fill="1F415A"/>
      </w:tcPr>
    </w:tblStylePr>
    <w:tblStylePr w:type="swCell">
      <w:rPr>
        <w:sz w:val="21"/>
      </w:rPr>
      <w:tblPr/>
      <w:tcPr>
        <w:shd w:val="clear" w:color="auto" w:fill="E6E6E6"/>
      </w:tcPr>
    </w:tblStylePr>
  </w:style>
  <w:style w:type="table" w:customStyle="1" w:styleId="Grilledutableau1">
    <w:name w:val="Grille du tableau1"/>
    <w:basedOn w:val="TableauNormal"/>
    <w:uiPriority w:val="59"/>
    <w:rsid w:val="004F16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NetXP1">
    <w:name w:val="Tableau NetXP1"/>
    <w:basedOn w:val="TableauNormal"/>
    <w:uiPriority w:val="99"/>
    <w:qFormat/>
    <w:rsid w:val="004F166B"/>
    <w:pPr>
      <w:jc w:val="center"/>
    </w:pPr>
    <w:rPr>
      <w:sz w:val="21"/>
    </w:rPr>
    <w:tblPr>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tblCellMar>
        <w:top w:w="85" w:type="dxa"/>
        <w:bottom w:w="85" w:type="dxa"/>
      </w:tblCellMar>
    </w:tblPr>
    <w:tcPr>
      <w:vAlign w:val="center"/>
    </w:tcPr>
    <w:tblStylePr w:type="firstRow">
      <w:pPr>
        <w:wordWrap/>
        <w:spacing w:beforeLines="0" w:afterLines="0"/>
      </w:pPr>
      <w:rPr>
        <w:b/>
        <w:caps/>
        <w:smallCaps w:val="0"/>
        <w:sz w:val="21"/>
      </w:rPr>
      <w:tblPr/>
      <w:tcPr>
        <w:shd w:val="clear" w:color="auto" w:fill="1F415A"/>
      </w:tcPr>
    </w:tblStylePr>
    <w:tblStylePr w:type="firstCol">
      <w:pPr>
        <w:jc w:val="left"/>
      </w:pPr>
      <w:rPr>
        <w:sz w:val="21"/>
      </w:rPr>
      <w:tblPr/>
      <w:tcPr>
        <w:shd w:val="clear" w:color="auto" w:fill="F6F6F6"/>
      </w:tcPr>
    </w:tblStylePr>
    <w:tblStylePr w:type="seCell">
      <w:rPr>
        <w:b w:val="0"/>
        <w:sz w:val="21"/>
      </w:rPr>
      <w:tblPr/>
      <w:tcPr>
        <w:shd w:val="clear" w:color="auto" w:fill="1F415A"/>
      </w:tcPr>
    </w:tblStylePr>
    <w:tblStylePr w:type="swCell">
      <w:rPr>
        <w:sz w:val="21"/>
      </w:rPr>
      <w:tblPr/>
      <w:tcPr>
        <w:shd w:val="clear" w:color="auto" w:fill="E6E6E6"/>
      </w:tcPr>
    </w:tblStylePr>
  </w:style>
  <w:style w:type="table" w:styleId="Listeclaire-Accent5">
    <w:name w:val="Light List Accent 5"/>
    <w:basedOn w:val="TableauNormal"/>
    <w:uiPriority w:val="61"/>
    <w:rsid w:val="006F4F7C"/>
    <w:tblPr>
      <w:tblStyleRowBandSize w:val="1"/>
      <w:tblStyleColBandSize w:val="1"/>
      <w:tblBorders>
        <w:top w:val="single" w:sz="8" w:space="0" w:color="474555" w:themeColor="accent5"/>
        <w:left w:val="single" w:sz="8" w:space="0" w:color="474555" w:themeColor="accent5"/>
        <w:bottom w:val="single" w:sz="8" w:space="0" w:color="474555" w:themeColor="accent5"/>
        <w:right w:val="single" w:sz="8" w:space="0" w:color="474555" w:themeColor="accent5"/>
      </w:tblBorders>
    </w:tblPr>
    <w:tblStylePr w:type="firstRow">
      <w:pPr>
        <w:spacing w:before="0" w:after="0" w:line="240" w:lineRule="auto"/>
      </w:pPr>
      <w:rPr>
        <w:b/>
        <w:bCs/>
        <w:color w:val="FFFFFF" w:themeColor="background1"/>
      </w:rPr>
      <w:tblPr/>
      <w:tcPr>
        <w:shd w:val="clear" w:color="auto" w:fill="474555" w:themeFill="accent5"/>
      </w:tcPr>
    </w:tblStylePr>
    <w:tblStylePr w:type="lastRow">
      <w:pPr>
        <w:spacing w:before="0" w:after="0" w:line="240" w:lineRule="auto"/>
      </w:pPr>
      <w:rPr>
        <w:b/>
        <w:bCs/>
      </w:rPr>
      <w:tblPr/>
      <w:tcPr>
        <w:tcBorders>
          <w:top w:val="double" w:sz="6" w:space="0" w:color="474555" w:themeColor="accent5"/>
          <w:left w:val="single" w:sz="8" w:space="0" w:color="474555" w:themeColor="accent5"/>
          <w:bottom w:val="single" w:sz="8" w:space="0" w:color="474555" w:themeColor="accent5"/>
          <w:right w:val="single" w:sz="8" w:space="0" w:color="474555" w:themeColor="accent5"/>
        </w:tcBorders>
      </w:tcPr>
    </w:tblStylePr>
    <w:tblStylePr w:type="firstCol">
      <w:rPr>
        <w:b/>
        <w:bCs/>
      </w:rPr>
    </w:tblStylePr>
    <w:tblStylePr w:type="lastCol">
      <w:rPr>
        <w:b/>
        <w:bCs/>
      </w:rPr>
    </w:tblStylePr>
    <w:tblStylePr w:type="band1Vert">
      <w:tblPr/>
      <w:tcPr>
        <w:tcBorders>
          <w:top w:val="single" w:sz="8" w:space="0" w:color="474555" w:themeColor="accent5"/>
          <w:left w:val="single" w:sz="8" w:space="0" w:color="474555" w:themeColor="accent5"/>
          <w:bottom w:val="single" w:sz="8" w:space="0" w:color="474555" w:themeColor="accent5"/>
          <w:right w:val="single" w:sz="8" w:space="0" w:color="474555" w:themeColor="accent5"/>
        </w:tcBorders>
      </w:tcPr>
    </w:tblStylePr>
    <w:tblStylePr w:type="band1Horz">
      <w:tblPr/>
      <w:tcPr>
        <w:tcBorders>
          <w:top w:val="single" w:sz="8" w:space="0" w:color="474555" w:themeColor="accent5"/>
          <w:left w:val="single" w:sz="8" w:space="0" w:color="474555" w:themeColor="accent5"/>
          <w:bottom w:val="single" w:sz="8" w:space="0" w:color="474555" w:themeColor="accent5"/>
          <w:right w:val="single" w:sz="8" w:space="0" w:color="474555" w:themeColor="accent5"/>
        </w:tcBorders>
      </w:tcPr>
    </w:tblStylePr>
  </w:style>
  <w:style w:type="table" w:customStyle="1" w:styleId="TableNormal">
    <w:name w:val="Table Normal"/>
    <w:uiPriority w:val="2"/>
    <w:semiHidden/>
    <w:unhideWhenUsed/>
    <w:qFormat/>
    <w:rsid w:val="001E26B2"/>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etXP">
      <a:dk1>
        <a:srgbClr val="000000"/>
      </a:dk1>
      <a:lt1>
        <a:srgbClr val="FFFFFF"/>
      </a:lt1>
      <a:dk2>
        <a:srgbClr val="00A194"/>
      </a:dk2>
      <a:lt2>
        <a:srgbClr val="0C283C"/>
      </a:lt2>
      <a:accent1>
        <a:srgbClr val="1F415A"/>
      </a:accent1>
      <a:accent2>
        <a:srgbClr val="F6F6F6"/>
      </a:accent2>
      <a:accent3>
        <a:srgbClr val="E6E6E6"/>
      </a:accent3>
      <a:accent4>
        <a:srgbClr val="A94C38"/>
      </a:accent4>
      <a:accent5>
        <a:srgbClr val="474555"/>
      </a:accent5>
      <a:accent6>
        <a:srgbClr val="FFFFFF"/>
      </a:accent6>
      <a:hlink>
        <a:srgbClr val="FFFFFF"/>
      </a:hlink>
      <a:folHlink>
        <a:srgbClr val="FFFFFF"/>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acb5e4-ab1f-4cfa-98ac-4980f7cf7799">
      <Terms xmlns="http://schemas.microsoft.com/office/infopath/2007/PartnerControls"/>
    </lcf76f155ced4ddcb4097134ff3c332f>
    <TaxCatchAll xmlns="b936c9ca-2398-4f0e-a3a4-7ea56b73e5d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40E09397653943BDA4903E26E18ECF" ma:contentTypeVersion="19" ma:contentTypeDescription="Crée un document." ma:contentTypeScope="" ma:versionID="b1c3dba28f73ce22f427aa6a06437649">
  <xsd:schema xmlns:xsd="http://www.w3.org/2001/XMLSchema" xmlns:xs="http://www.w3.org/2001/XMLSchema" xmlns:p="http://schemas.microsoft.com/office/2006/metadata/properties" xmlns:ns2="0dacb5e4-ab1f-4cfa-98ac-4980f7cf7799" xmlns:ns3="b936c9ca-2398-4f0e-a3a4-7ea56b73e5d1" targetNamespace="http://schemas.microsoft.com/office/2006/metadata/properties" ma:root="true" ma:fieldsID="08062d6c907c3a0f8080f2441049adad" ns2:_="" ns3:_="">
    <xsd:import namespace="0dacb5e4-ab1f-4cfa-98ac-4980f7cf7799"/>
    <xsd:import namespace="b936c9ca-2398-4f0e-a3a4-7ea56b73e5d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acb5e4-ab1f-4cfa-98ac-4980f7cf7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8a3c86-0667-42cb-8626-860e47c6dc0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36c9ca-2398-4f0e-a3a4-7ea56b73e5d1"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e4cf8090-66ba-4cb5-9760-cc613c2ee647}" ma:internalName="TaxCatchAll" ma:showField="CatchAllData" ma:web="b936c9ca-2398-4f0e-a3a4-7ea56b73e5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AF6A9C-53CA-4F1E-9CAC-A93E07D438EC}">
  <ds:schemaRefs>
    <ds:schemaRef ds:uri="http://schemas.microsoft.com/sharepoint/v3/contenttype/forms"/>
  </ds:schemaRefs>
</ds:datastoreItem>
</file>

<file path=customXml/itemProps2.xml><?xml version="1.0" encoding="utf-8"?>
<ds:datastoreItem xmlns:ds="http://schemas.openxmlformats.org/officeDocument/2006/customXml" ds:itemID="{51495414-0BD6-495E-A5A0-1C9335D49193}">
  <ds:schemaRefs>
    <ds:schemaRef ds:uri="http://schemas.openxmlformats.org/officeDocument/2006/bibliography"/>
  </ds:schemaRefs>
</ds:datastoreItem>
</file>

<file path=customXml/itemProps3.xml><?xml version="1.0" encoding="utf-8"?>
<ds:datastoreItem xmlns:ds="http://schemas.openxmlformats.org/officeDocument/2006/customXml" ds:itemID="{2DEB7BC4-74CE-4C1C-8BA8-9E3A192837AE}">
  <ds:schemaRefs>
    <ds:schemaRef ds:uri="http://schemas.microsoft.com/office/2006/metadata/properties"/>
    <ds:schemaRef ds:uri="http://schemas.microsoft.com/office/infopath/2007/PartnerControls"/>
    <ds:schemaRef ds:uri="0dacb5e4-ab1f-4cfa-98ac-4980f7cf7799"/>
    <ds:schemaRef ds:uri="b936c9ca-2398-4f0e-a3a4-7ea56b73e5d1"/>
  </ds:schemaRefs>
</ds:datastoreItem>
</file>

<file path=customXml/itemProps4.xml><?xml version="1.0" encoding="utf-8"?>
<ds:datastoreItem xmlns:ds="http://schemas.openxmlformats.org/officeDocument/2006/customXml" ds:itemID="{CCBD7601-F443-4B14-BACD-E7647F037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acb5e4-ab1f-4cfa-98ac-4980f7cf7799"/>
    <ds:schemaRef ds:uri="b936c9ca-2398-4f0e-a3a4-7ea56b73e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18</Pages>
  <Words>6459</Words>
  <Characters>35525</Characters>
  <Application>Microsoft Office Word</Application>
  <DocSecurity>0</DocSecurity>
  <Lines>296</Lines>
  <Paragraphs>83</Paragraphs>
  <ScaleCrop>false</ScaleCrop>
  <Company>CNCCFP</Company>
  <LinksUpToDate>false</LinksUpToDate>
  <CharactersWithSpaces>41901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 AUDEBERT</dc:creator>
  <dc:description/>
  <cp:lastModifiedBy>Arnaud MORVAN</cp:lastModifiedBy>
  <cp:revision>28</cp:revision>
  <dcterms:created xsi:type="dcterms:W3CDTF">2026-01-12T13:38:00Z</dcterms:created>
  <dcterms:modified xsi:type="dcterms:W3CDTF">2026-08-25T07:33:00Z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0x0101004540E09397653943BDA4903E26E18ECF</vt:lpwstr>
  </property>
  <property fmtid="{D5CDD505-2E9C-101B-9397-08002B2CF9AE}" pid="3" name="MediaServiceImageTags">
    <vt:lpwstr/>
  </property>
</Properties>
</file>