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CAB9B" w14:textId="77777777" w:rsidR="00271406" w:rsidRDefault="00271406" w:rsidP="00271406">
      <w:pPr>
        <w:pStyle w:val="Titre1"/>
        <w:spacing w:before="400" w:after="200"/>
        <w:jc w:val="both"/>
        <w:rPr>
          <w:rFonts w:ascii="Gotham Book" w:hAnsi="Gotham Book"/>
          <w:b/>
          <w:bCs/>
          <w:color w:val="1F1F1F"/>
        </w:rPr>
      </w:pPr>
    </w:p>
    <w:p w14:paraId="1610267D" w14:textId="77777777" w:rsidR="00271406" w:rsidRDefault="00271406" w:rsidP="00271406">
      <w:pPr>
        <w:pStyle w:val="Titre1"/>
        <w:spacing w:before="400" w:after="200"/>
        <w:jc w:val="both"/>
        <w:rPr>
          <w:rFonts w:ascii="Gotham Book" w:hAnsi="Gotham Book"/>
          <w:b/>
          <w:bCs/>
          <w:color w:val="1F1F1F"/>
        </w:rPr>
      </w:pPr>
      <w:r>
        <w:rPr>
          <w:rFonts w:ascii="Gotham Book" w:hAnsi="Gotham Book"/>
          <w:b/>
          <w:bCs/>
          <w:noProof/>
          <w:color w:val="1F1F1F"/>
        </w:rPr>
        <w:drawing>
          <wp:inline distT="0" distB="0" distL="0" distR="0" wp14:anchorId="1BD7D93F" wp14:editId="42B5F95D">
            <wp:extent cx="2495678" cy="920797"/>
            <wp:effectExtent l="0" t="0" r="0" b="0"/>
            <wp:docPr id="38066037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660379" name=""/>
                    <pic:cNvPicPr/>
                  </pic:nvPicPr>
                  <pic:blipFill>
                    <a:blip r:embed="rId11"/>
                    <a:stretch>
                      <a:fillRect/>
                    </a:stretch>
                  </pic:blipFill>
                  <pic:spPr>
                    <a:xfrm>
                      <a:off x="0" y="0"/>
                      <a:ext cx="2495678" cy="920797"/>
                    </a:xfrm>
                    <a:prstGeom prst="rect">
                      <a:avLst/>
                    </a:prstGeom>
                  </pic:spPr>
                </pic:pic>
              </a:graphicData>
            </a:graphic>
          </wp:inline>
        </w:drawing>
      </w:r>
    </w:p>
    <w:p w14:paraId="04A14056" w14:textId="77777777" w:rsidR="00271406" w:rsidRDefault="00271406" w:rsidP="00271406">
      <w:pPr>
        <w:pStyle w:val="Titre1"/>
        <w:spacing w:before="400" w:after="200"/>
        <w:jc w:val="center"/>
        <w:rPr>
          <w:rFonts w:ascii="Gotham Book" w:hAnsi="Gotham Book"/>
          <w:b/>
          <w:bCs/>
          <w:color w:val="1F1F1F"/>
        </w:rPr>
      </w:pPr>
      <w:r>
        <w:rPr>
          <w:rFonts w:ascii="Gotham Book" w:hAnsi="Gotham Book"/>
          <w:b/>
          <w:bCs/>
          <w:color w:val="1F1F1F"/>
        </w:rPr>
        <w:t>MARCHE PUBLIC DE PRESTATIONS DE SERVICES</w:t>
      </w:r>
    </w:p>
    <w:p w14:paraId="392DDC30" w14:textId="77777777" w:rsidR="00271406" w:rsidRDefault="00271406" w:rsidP="00271406">
      <w:pPr>
        <w:pStyle w:val="Titre1"/>
        <w:spacing w:before="400" w:after="200"/>
        <w:jc w:val="center"/>
        <w:rPr>
          <w:rFonts w:ascii="Gotham Book" w:hAnsi="Gotham Book"/>
          <w:b/>
          <w:bCs/>
          <w:color w:val="1F1F1F"/>
        </w:rPr>
      </w:pPr>
    </w:p>
    <w:tbl>
      <w:tblPr>
        <w:tblStyle w:val="Grilledutableau"/>
        <w:tblW w:w="0" w:type="auto"/>
        <w:tblLook w:val="04A0" w:firstRow="1" w:lastRow="0" w:firstColumn="1" w:lastColumn="0" w:noHBand="0" w:noVBand="1"/>
      </w:tblPr>
      <w:tblGrid>
        <w:gridCol w:w="9628"/>
      </w:tblGrid>
      <w:tr w:rsidR="00271406" w14:paraId="4E3D0BFF" w14:textId="77777777" w:rsidTr="00271406">
        <w:tc>
          <w:tcPr>
            <w:tcW w:w="9628" w:type="dxa"/>
          </w:tcPr>
          <w:p w14:paraId="2F64F913" w14:textId="77777777" w:rsidR="00C67263" w:rsidRDefault="00C67263" w:rsidP="00271406">
            <w:pPr>
              <w:pStyle w:val="Titre1"/>
              <w:spacing w:before="400" w:after="200"/>
              <w:jc w:val="center"/>
              <w:rPr>
                <w:rFonts w:ascii="Gotham Book" w:hAnsi="Gotham Book"/>
                <w:b/>
                <w:bCs/>
                <w:color w:val="1F1F1F"/>
              </w:rPr>
            </w:pPr>
            <w:r>
              <w:rPr>
                <w:rFonts w:ascii="Gotham Book" w:hAnsi="Gotham Book"/>
                <w:b/>
                <w:bCs/>
                <w:color w:val="1F1F1F"/>
              </w:rPr>
              <w:t>Marché n° 2026-10-MPS</w:t>
            </w:r>
          </w:p>
          <w:p w14:paraId="4FB42D5C" w14:textId="7D5EA9CC" w:rsidR="00271406" w:rsidRDefault="00271406" w:rsidP="00271406">
            <w:pPr>
              <w:pStyle w:val="Titre1"/>
              <w:spacing w:before="400" w:after="200"/>
              <w:jc w:val="center"/>
              <w:rPr>
                <w:rFonts w:ascii="Gotham Book" w:hAnsi="Gotham Book"/>
                <w:b/>
                <w:bCs/>
                <w:color w:val="1F1F1F"/>
              </w:rPr>
            </w:pPr>
            <w:r>
              <w:rPr>
                <w:rFonts w:ascii="Gotham Book" w:hAnsi="Gotham Book"/>
                <w:b/>
                <w:bCs/>
                <w:color w:val="1F1F1F"/>
              </w:rPr>
              <w:t>RÈGLEMENT DE LA CONSULTATION</w:t>
            </w:r>
          </w:p>
        </w:tc>
      </w:tr>
    </w:tbl>
    <w:p w14:paraId="17020CDB" w14:textId="77777777" w:rsidR="00271406" w:rsidRDefault="00271406" w:rsidP="00271406">
      <w:pPr>
        <w:pStyle w:val="Titre1"/>
        <w:spacing w:before="400" w:after="200"/>
        <w:jc w:val="center"/>
        <w:rPr>
          <w:rFonts w:ascii="Gotham Book" w:hAnsi="Gotham Book"/>
          <w:b/>
          <w:bCs/>
          <w:color w:val="1F1F1F"/>
        </w:rPr>
      </w:pPr>
    </w:p>
    <w:p w14:paraId="44B3F185" w14:textId="77777777" w:rsidR="000133BB" w:rsidRDefault="0073569B">
      <w:pPr>
        <w:jc w:val="both"/>
      </w:pPr>
      <w:r>
        <w:br w:type="page"/>
      </w:r>
    </w:p>
    <w:p w14:paraId="46454B7D" w14:textId="5C46F56D" w:rsidR="00A145F6" w:rsidRDefault="00EF5A1C">
      <w:pPr>
        <w:spacing w:after="120"/>
        <w:jc w:val="both"/>
        <w:rPr>
          <w:rFonts w:ascii="Gotham Book" w:hAnsi="Gotham Book"/>
        </w:rPr>
      </w:pPr>
      <w:r>
        <w:rPr>
          <w:rFonts w:ascii="Gotham Book" w:hAnsi="Gotham Book"/>
        </w:rPr>
        <w:lastRenderedPageBreak/>
        <w:t>Le présent règlement fixe les règles applicables à la consultation lancée par le Conservatoire pour l’accompagnement à l’exploitation, l’évolution et l’usage stratégique du système OASIS.</w:t>
      </w:r>
    </w:p>
    <w:p w14:paraId="6B6DE1E2" w14:textId="77777777" w:rsidR="00A145F6" w:rsidRDefault="00B954D8">
      <w:pPr>
        <w:pStyle w:val="Titre1"/>
        <w:spacing w:before="400" w:after="200"/>
        <w:rPr>
          <w:rFonts w:ascii="Gotham Book" w:hAnsi="Gotham Book"/>
        </w:rPr>
      </w:pPr>
      <w:r>
        <w:rPr>
          <w:rFonts w:ascii="Gotham Book" w:hAnsi="Gotham Book"/>
          <w:b/>
          <w:bCs/>
          <w:color w:val="1F1F1F"/>
        </w:rPr>
        <w:t>ARTICLE 1 – ACHETEUR, OBJET ET PROCÉDURE</w:t>
      </w:r>
    </w:p>
    <w:p w14:paraId="717F9562" w14:textId="6D267112" w:rsidR="00A145F6" w:rsidRDefault="00B954D8">
      <w:pPr>
        <w:spacing w:after="120"/>
        <w:jc w:val="both"/>
        <w:rPr>
          <w:rFonts w:ascii="Gotham Book" w:hAnsi="Gotham Book"/>
        </w:rPr>
      </w:pPr>
      <w:r>
        <w:rPr>
          <w:rFonts w:ascii="Gotham Book" w:hAnsi="Gotham Book"/>
          <w:b/>
          <w:bCs/>
        </w:rPr>
        <w:t>Acheteur</w:t>
      </w:r>
      <w:r>
        <w:rPr>
          <w:rFonts w:ascii="Gotham Book" w:hAnsi="Gotham Book"/>
        </w:rPr>
        <w:t xml:space="preserve"> : Conservatoire National Supérieur de Musique et de Danse de Paris (CNSMDP), établissement public administratif placé sous la tutelle du ministère de la Culture – 209 avenue Jean Jaurès 75 019 Paris – SIRET 197 534 951 00037.</w:t>
      </w:r>
    </w:p>
    <w:p w14:paraId="4692BB39" w14:textId="77777777" w:rsidR="00A145F6" w:rsidRDefault="00B954D8">
      <w:pPr>
        <w:spacing w:after="120"/>
        <w:jc w:val="both"/>
        <w:rPr>
          <w:rFonts w:ascii="Gotham Book" w:hAnsi="Gotham Book"/>
        </w:rPr>
      </w:pPr>
      <w:r>
        <w:rPr>
          <w:rFonts w:ascii="Gotham Book" w:hAnsi="Gotham Book"/>
          <w:b/>
          <w:bCs/>
        </w:rPr>
        <w:t>Objet</w:t>
      </w:r>
      <w:r>
        <w:rPr>
          <w:rFonts w:ascii="Gotham Book" w:hAnsi="Gotham Book"/>
        </w:rPr>
        <w:t xml:space="preserve"> : prestations d’accompagnement du Conservatoire dans l’exploitation, l’évolution et l’usage stratégique du système de gestion de la scolarité OASIS, exécutées en régie :</w:t>
      </w:r>
    </w:p>
    <w:p w14:paraId="062565D5" w14:textId="77777777" w:rsidR="00A145F6" w:rsidRDefault="00B954D8">
      <w:pPr>
        <w:pStyle w:val="Paragraphedeliste"/>
        <w:numPr>
          <w:ilvl w:val="0"/>
          <w:numId w:val="1"/>
        </w:numPr>
        <w:spacing w:after="60"/>
        <w:jc w:val="both"/>
        <w:rPr>
          <w:rFonts w:ascii="Gotham Book" w:hAnsi="Gotham Book"/>
        </w:rPr>
      </w:pPr>
      <w:r>
        <w:rPr>
          <w:rFonts w:ascii="Gotham Book" w:hAnsi="Gotham Book"/>
        </w:rPr>
        <w:t>aide aux utilisateurs (support de niveau 1) ;</w:t>
      </w:r>
    </w:p>
    <w:p w14:paraId="2B000001" w14:textId="77777777" w:rsidR="00A145F6" w:rsidRDefault="00B954D8">
      <w:pPr>
        <w:pStyle w:val="Paragraphedeliste"/>
        <w:numPr>
          <w:ilvl w:val="0"/>
          <w:numId w:val="1"/>
        </w:numPr>
        <w:spacing w:after="60"/>
        <w:jc w:val="both"/>
        <w:rPr>
          <w:rFonts w:ascii="Gotham Book" w:hAnsi="Gotham Book"/>
        </w:rPr>
      </w:pPr>
      <w:r>
        <w:rPr>
          <w:rFonts w:ascii="Gotham Book" w:hAnsi="Gotham Book"/>
        </w:rPr>
        <w:t>suivi du fonctionnement d’OASIS (réception, reproduction et suivi des incidents) ;</w:t>
      </w:r>
    </w:p>
    <w:p w14:paraId="63C053F9" w14:textId="77777777" w:rsidR="00A145F6" w:rsidRDefault="00B954D8">
      <w:pPr>
        <w:pStyle w:val="Paragraphedeliste"/>
        <w:numPr>
          <w:ilvl w:val="0"/>
          <w:numId w:val="1"/>
        </w:numPr>
        <w:spacing w:after="60"/>
        <w:jc w:val="both"/>
        <w:rPr>
          <w:rFonts w:ascii="Gotham Book" w:hAnsi="Gotham Book"/>
        </w:rPr>
      </w:pPr>
      <w:r>
        <w:rPr>
          <w:rFonts w:ascii="Gotham Book" w:hAnsi="Gotham Book"/>
        </w:rPr>
        <w:t>accompagnement des évolutions nécessaires d’OASIS ;</w:t>
      </w:r>
    </w:p>
    <w:p w14:paraId="64626F1E" w14:textId="77777777" w:rsidR="00A145F6" w:rsidRDefault="00B954D8">
      <w:pPr>
        <w:pStyle w:val="Paragraphedeliste"/>
        <w:numPr>
          <w:ilvl w:val="0"/>
          <w:numId w:val="1"/>
        </w:numPr>
        <w:spacing w:after="60"/>
        <w:jc w:val="both"/>
        <w:rPr>
          <w:rFonts w:ascii="Gotham Book" w:hAnsi="Gotham Book"/>
        </w:rPr>
      </w:pPr>
      <w:r>
        <w:rPr>
          <w:rFonts w:ascii="Gotham Book" w:hAnsi="Gotham Book"/>
        </w:rPr>
        <w:t>dialogue technique et fonctionnel avec l’éditeur AOUKA ;</w:t>
      </w:r>
    </w:p>
    <w:p w14:paraId="2F4DAED0" w14:textId="77777777" w:rsidR="00A145F6" w:rsidRDefault="00B954D8">
      <w:pPr>
        <w:pStyle w:val="Paragraphedeliste"/>
        <w:numPr>
          <w:ilvl w:val="0"/>
          <w:numId w:val="1"/>
        </w:numPr>
        <w:spacing w:after="60"/>
        <w:jc w:val="both"/>
        <w:rPr>
          <w:rFonts w:ascii="Gotham Book" w:hAnsi="Gotham Book"/>
        </w:rPr>
      </w:pPr>
      <w:r>
        <w:rPr>
          <w:rFonts w:ascii="Gotham Book" w:hAnsi="Gotham Book"/>
        </w:rPr>
        <w:t>participation aux projets impliquant OASIS, notamment les interfaces API ;</w:t>
      </w:r>
    </w:p>
    <w:p w14:paraId="52381E07" w14:textId="77777777" w:rsidR="00A145F6" w:rsidRDefault="00B954D8">
      <w:pPr>
        <w:pStyle w:val="Paragraphedeliste"/>
        <w:numPr>
          <w:ilvl w:val="0"/>
          <w:numId w:val="1"/>
        </w:numPr>
        <w:spacing w:after="60"/>
        <w:jc w:val="both"/>
        <w:rPr>
          <w:rFonts w:ascii="Gotham Book" w:hAnsi="Gotham Book"/>
        </w:rPr>
      </w:pPr>
      <w:r>
        <w:rPr>
          <w:rFonts w:ascii="Gotham Book" w:hAnsi="Gotham Book"/>
        </w:rPr>
        <w:t>appui à la réflexion stratégique sur OASIS PRO / OGESCA.</w:t>
      </w:r>
    </w:p>
    <w:p w14:paraId="4DE4E2C9" w14:textId="77777777" w:rsidR="00A145F6" w:rsidRDefault="00B954D8">
      <w:pPr>
        <w:spacing w:after="120"/>
        <w:jc w:val="both"/>
        <w:rPr>
          <w:rFonts w:ascii="Gotham Book" w:hAnsi="Gotham Book"/>
        </w:rPr>
      </w:pPr>
      <w:r>
        <w:rPr>
          <w:rFonts w:ascii="Gotham Book" w:hAnsi="Gotham Book"/>
        </w:rPr>
        <w:t>Le détail des prestations figure aux articles 1 à 4 du cahier des clauses particulières (CCP).</w:t>
      </w:r>
    </w:p>
    <w:p w14:paraId="60DD169A" w14:textId="77777777" w:rsidR="00A145F6" w:rsidRDefault="00B954D8">
      <w:pPr>
        <w:spacing w:after="120"/>
        <w:jc w:val="both"/>
        <w:rPr>
          <w:rFonts w:ascii="Gotham Book" w:hAnsi="Gotham Book"/>
        </w:rPr>
      </w:pPr>
      <w:r>
        <w:rPr>
          <w:rFonts w:ascii="Gotham Book" w:hAnsi="Gotham Book"/>
          <w:b/>
          <w:bCs/>
        </w:rPr>
        <w:t>Procédure</w:t>
      </w:r>
      <w:r>
        <w:rPr>
          <w:rFonts w:ascii="Gotham Book" w:hAnsi="Gotham Book"/>
        </w:rPr>
        <w:t xml:space="preserve"> : marché public de services passé selon une procédure adaptée, en application des articles L2123-1 et R2123-1 du code de la commande publique.</w:t>
      </w:r>
    </w:p>
    <w:p w14:paraId="1CB90D21" w14:textId="77777777" w:rsidR="00A145F6" w:rsidRDefault="00B954D8">
      <w:pPr>
        <w:spacing w:after="120"/>
        <w:jc w:val="both"/>
        <w:rPr>
          <w:rFonts w:ascii="Gotham Book" w:hAnsi="Gotham Book"/>
        </w:rPr>
      </w:pPr>
      <w:r>
        <w:rPr>
          <w:rFonts w:ascii="Gotham Book" w:hAnsi="Gotham Book"/>
          <w:b/>
          <w:bCs/>
        </w:rPr>
        <w:t>Forme et durée</w:t>
      </w:r>
      <w:r>
        <w:rPr>
          <w:rFonts w:ascii="Gotham Book" w:hAnsi="Gotham Book"/>
        </w:rPr>
        <w:t xml:space="preserve"> : marché ordinaire, d’un volume de 184 jours-hommes, conclu pour 12 mois à compter de sa notification. Il n’est pas reconductible.</w:t>
      </w:r>
    </w:p>
    <w:p w14:paraId="71762408" w14:textId="77777777" w:rsidR="00A145F6" w:rsidRDefault="00B954D8">
      <w:pPr>
        <w:spacing w:after="120"/>
        <w:jc w:val="both"/>
        <w:rPr>
          <w:rFonts w:ascii="Gotham Book" w:hAnsi="Gotham Book"/>
        </w:rPr>
      </w:pPr>
      <w:r>
        <w:rPr>
          <w:rFonts w:ascii="Gotham Book" w:hAnsi="Gotham Book"/>
          <w:b/>
          <w:bCs/>
        </w:rPr>
        <w:t>CCAG de référence</w:t>
      </w:r>
      <w:r>
        <w:rPr>
          <w:rFonts w:ascii="Gotham Book" w:hAnsi="Gotham Book"/>
        </w:rPr>
        <w:t xml:space="preserve"> : CCAG applicable aux marchés publics de prestations intellectuelles (CCAG-PI), approuvé par l’arrêté du 30 mars 2021.</w:t>
      </w:r>
    </w:p>
    <w:p w14:paraId="5C5148C2" w14:textId="77777777" w:rsidR="00A145F6" w:rsidRDefault="00B954D8">
      <w:pPr>
        <w:pStyle w:val="Titre1"/>
        <w:spacing w:before="400" w:after="200"/>
        <w:rPr>
          <w:rFonts w:ascii="Gotham Book" w:hAnsi="Gotham Book"/>
        </w:rPr>
      </w:pPr>
      <w:r>
        <w:rPr>
          <w:rFonts w:ascii="Gotham Book" w:hAnsi="Gotham Book"/>
          <w:b/>
          <w:bCs/>
          <w:color w:val="1F1F1F"/>
        </w:rPr>
        <w:t>ARTICLE 2 – DOCUMENTS ET CONDITIONS DE LA CONSULTATION</w:t>
      </w:r>
    </w:p>
    <w:p w14:paraId="35612301" w14:textId="77777777" w:rsidR="00A145F6" w:rsidRDefault="00B954D8">
      <w:pPr>
        <w:spacing w:after="120"/>
        <w:jc w:val="both"/>
        <w:rPr>
          <w:rFonts w:ascii="Gotham Book" w:hAnsi="Gotham Book"/>
        </w:rPr>
      </w:pPr>
      <w:r>
        <w:rPr>
          <w:rFonts w:ascii="Gotham Book" w:hAnsi="Gotham Book"/>
        </w:rPr>
        <w:t>Le dossier de consultation est mis à disposition gratuitement sur la plateforme PLACE (www.marches-publics.gouv.fr). Il comprend :</w:t>
      </w:r>
    </w:p>
    <w:p w14:paraId="6A889FBF" w14:textId="77777777" w:rsidR="00A145F6" w:rsidRDefault="00B954D8">
      <w:pPr>
        <w:spacing w:after="60"/>
        <w:ind w:left="340"/>
        <w:jc w:val="both"/>
        <w:rPr>
          <w:rFonts w:ascii="Gotham Book" w:hAnsi="Gotham Book"/>
        </w:rPr>
      </w:pPr>
      <w:r>
        <w:rPr>
          <w:rFonts w:ascii="Gotham Book" w:hAnsi="Gotham Book"/>
        </w:rPr>
        <w:t>1. le présent règlement de la consultation (RC) ;</w:t>
      </w:r>
    </w:p>
    <w:p w14:paraId="1665600B" w14:textId="77777777" w:rsidR="00A145F6" w:rsidRDefault="00B954D8">
      <w:pPr>
        <w:spacing w:after="60"/>
        <w:ind w:left="340"/>
        <w:jc w:val="both"/>
        <w:rPr>
          <w:rFonts w:ascii="Gotham Book" w:hAnsi="Gotham Book"/>
        </w:rPr>
      </w:pPr>
      <w:r>
        <w:rPr>
          <w:rFonts w:ascii="Gotham Book" w:hAnsi="Gotham Book"/>
        </w:rPr>
        <w:t>2. le cahier des clauses particulières (CCP) ;</w:t>
      </w:r>
    </w:p>
    <w:p w14:paraId="4A2250ED" w14:textId="77777777" w:rsidR="00A145F6" w:rsidRDefault="00B954D8">
      <w:pPr>
        <w:spacing w:after="60"/>
        <w:ind w:left="340"/>
        <w:jc w:val="both"/>
        <w:rPr>
          <w:rFonts w:ascii="Gotham Book" w:hAnsi="Gotham Book"/>
        </w:rPr>
      </w:pPr>
      <w:r>
        <w:rPr>
          <w:rFonts w:ascii="Gotham Book" w:hAnsi="Gotham Book"/>
        </w:rPr>
        <w:t>3. l’acte d’engagement (AE) ;</w:t>
      </w:r>
    </w:p>
    <w:p w14:paraId="21876027" w14:textId="46BBF23E" w:rsidR="00A145F6" w:rsidRDefault="00B954D8">
      <w:pPr>
        <w:spacing w:after="60"/>
        <w:ind w:left="340"/>
        <w:jc w:val="both"/>
        <w:rPr>
          <w:rFonts w:ascii="Gotham Book" w:hAnsi="Gotham Book"/>
        </w:rPr>
      </w:pPr>
      <w:r>
        <w:rPr>
          <w:rFonts w:ascii="Gotham Book" w:hAnsi="Gotham Book"/>
        </w:rPr>
        <w:t>4. la décomposition du prix global et forfaitaire (DPGF) ;</w:t>
      </w:r>
    </w:p>
    <w:p w14:paraId="618079A7" w14:textId="77777777" w:rsidR="00A145F6" w:rsidRDefault="00B954D8">
      <w:pPr>
        <w:spacing w:after="60"/>
        <w:ind w:left="340"/>
        <w:jc w:val="both"/>
        <w:rPr>
          <w:rFonts w:ascii="Gotham Book" w:hAnsi="Gotham Book"/>
        </w:rPr>
      </w:pPr>
      <w:r>
        <w:rPr>
          <w:rFonts w:ascii="Gotham Book" w:hAnsi="Gotham Book"/>
        </w:rPr>
        <w:t>5. le cadre de mémoire technique.</w:t>
      </w:r>
    </w:p>
    <w:p w14:paraId="18C7F26F" w14:textId="77777777" w:rsidR="00A145F6" w:rsidRDefault="00B954D8">
      <w:pPr>
        <w:spacing w:after="120"/>
        <w:jc w:val="both"/>
        <w:rPr>
          <w:rFonts w:ascii="Gotham Book" w:hAnsi="Gotham Book"/>
        </w:rPr>
      </w:pPr>
      <w:r>
        <w:rPr>
          <w:rFonts w:ascii="Gotham Book" w:hAnsi="Gotham Book"/>
        </w:rPr>
        <w:t>Le CCAG-PI n’est pas joint : il est publié au Journal officiel et réputé connu des candidats.</w:t>
      </w:r>
    </w:p>
    <w:p w14:paraId="49AC3BFA" w14:textId="77777777" w:rsidR="00A145F6" w:rsidRDefault="00B954D8">
      <w:pPr>
        <w:spacing w:after="120"/>
        <w:jc w:val="both"/>
        <w:rPr>
          <w:rFonts w:ascii="Gotham Book" w:hAnsi="Gotham Book"/>
        </w:rPr>
      </w:pPr>
      <w:r>
        <w:rPr>
          <w:rFonts w:ascii="Gotham Book" w:hAnsi="Gotham Book"/>
          <w:b/>
          <w:bCs/>
        </w:rPr>
        <w:t>Allotissement</w:t>
      </w:r>
      <w:r>
        <w:rPr>
          <w:rFonts w:ascii="Gotham Book" w:hAnsi="Gotham Book"/>
        </w:rPr>
        <w:t xml:space="preserve"> : le marché n’est pas alloti. Les prestations forment un ensemble indissociable, assuré par un même intervenant en régie (article L2113-11 du code de la commande publique).</w:t>
      </w:r>
    </w:p>
    <w:p w14:paraId="6F85D3BD" w14:textId="77777777" w:rsidR="00A145F6" w:rsidRDefault="00B954D8">
      <w:pPr>
        <w:spacing w:after="120"/>
        <w:jc w:val="both"/>
        <w:rPr>
          <w:rFonts w:ascii="Gotham Book" w:hAnsi="Gotham Book"/>
        </w:rPr>
      </w:pPr>
      <w:r>
        <w:rPr>
          <w:rFonts w:ascii="Gotham Book" w:hAnsi="Gotham Book"/>
          <w:b/>
          <w:bCs/>
        </w:rPr>
        <w:t>Variantes</w:t>
      </w:r>
      <w:r>
        <w:rPr>
          <w:rFonts w:ascii="Gotham Book" w:hAnsi="Gotham Book"/>
        </w:rPr>
        <w:t xml:space="preserve"> : les variantes ne sont pas autorisées.</w:t>
      </w:r>
    </w:p>
    <w:p w14:paraId="7C18E567" w14:textId="77777777" w:rsidR="00A145F6" w:rsidRDefault="00B954D8">
      <w:pPr>
        <w:spacing w:after="120"/>
        <w:jc w:val="both"/>
        <w:rPr>
          <w:rFonts w:ascii="Gotham Book" w:hAnsi="Gotham Book"/>
        </w:rPr>
      </w:pPr>
      <w:r>
        <w:rPr>
          <w:rFonts w:ascii="Gotham Book" w:hAnsi="Gotham Book"/>
          <w:b/>
          <w:bCs/>
        </w:rPr>
        <w:t>Groupements</w:t>
      </w:r>
      <w:r>
        <w:rPr>
          <w:rFonts w:ascii="Gotham Book" w:hAnsi="Gotham Book"/>
        </w:rPr>
        <w:t xml:space="preserve"> : les candidats peuvent se présenter seuls ou en groupement d’opérateurs économiques, conjoint ou solidaire (articles R2142-19 et suivants du code de la commande publique). En cas de groupement conjoint, le mandataire est solidaire de chacun des membres du groupement pour ses obligations contractuelles à l’égard du Conservatoire.</w:t>
      </w:r>
    </w:p>
    <w:p w14:paraId="6225A869" w14:textId="77777777" w:rsidR="00A145F6" w:rsidRDefault="00B954D8">
      <w:pPr>
        <w:spacing w:after="120"/>
        <w:jc w:val="both"/>
        <w:rPr>
          <w:rFonts w:ascii="Gotham Book" w:hAnsi="Gotham Book"/>
        </w:rPr>
      </w:pPr>
      <w:r>
        <w:rPr>
          <w:rFonts w:ascii="Gotham Book" w:hAnsi="Gotham Book"/>
        </w:rPr>
        <w:t>Un même opérateur économique ne peut pas présenter plusieurs candidatures en agissant à la fois en qualité de candidat individuel et de membre d’un groupement, ni en qualité de membre de plusieurs groupements.</w:t>
      </w:r>
    </w:p>
    <w:p w14:paraId="59BAB80F" w14:textId="77777777" w:rsidR="00A145F6" w:rsidRDefault="00B954D8">
      <w:pPr>
        <w:spacing w:after="120"/>
        <w:jc w:val="both"/>
        <w:rPr>
          <w:rFonts w:ascii="Gotham Book" w:hAnsi="Gotham Book"/>
        </w:rPr>
      </w:pPr>
      <w:r>
        <w:rPr>
          <w:rFonts w:ascii="Gotham Book" w:hAnsi="Gotham Book"/>
          <w:b/>
          <w:bCs/>
        </w:rPr>
        <w:t>Sous-traitance</w:t>
      </w:r>
      <w:r>
        <w:rPr>
          <w:rFonts w:ascii="Gotham Book" w:hAnsi="Gotham Book"/>
        </w:rPr>
        <w:t xml:space="preserve"> : en application de l’article L2193-3 du code de la commande publique, les tâches essentielles du marché sont exécutées directement par le titulaire ou, en cas de groupement, par l’un de ses membres. Constituent des tâches essentielles le support de niveau 1, l’accompagnement des évolutions d’OASIS et le dialogue avec l’éditeur AOUKA.</w:t>
      </w:r>
    </w:p>
    <w:p w14:paraId="6B33F136" w14:textId="11687433" w:rsidR="00A145F6" w:rsidRDefault="00B954D8">
      <w:pPr>
        <w:spacing w:after="120"/>
        <w:jc w:val="both"/>
        <w:rPr>
          <w:rFonts w:ascii="Gotham Book" w:hAnsi="Gotham Book"/>
        </w:rPr>
      </w:pPr>
      <w:r>
        <w:rPr>
          <w:rFonts w:ascii="Gotham Book" w:hAnsi="Gotham Book"/>
          <w:b/>
          <w:bCs/>
        </w:rPr>
        <w:lastRenderedPageBreak/>
        <w:t>Modification du dossier</w:t>
      </w:r>
      <w:r>
        <w:rPr>
          <w:rFonts w:ascii="Gotham Book" w:hAnsi="Gotham Book"/>
        </w:rPr>
        <w:t xml:space="preserve"> : le Conservatoire peut apporter des modifications de détail au dossier au plus tard </w:t>
      </w:r>
      <w:r>
        <w:rPr>
          <w:rFonts w:ascii="Gotham Book" w:hAnsi="Gotham Book"/>
        </w:rPr>
        <w:t>6</w:t>
      </w:r>
      <w:r>
        <w:rPr>
          <w:rFonts w:ascii="Gotham Book" w:hAnsi="Gotham Book"/>
        </w:rPr>
        <w:t xml:space="preserve"> jours avant la date limite de remise des offres. Les candidats répondent alors sur la base du dossier modifié.</w:t>
      </w:r>
    </w:p>
    <w:p w14:paraId="42B995AF" w14:textId="77777777" w:rsidR="00A145F6" w:rsidRDefault="00B954D8">
      <w:pPr>
        <w:spacing w:after="120"/>
        <w:jc w:val="both"/>
        <w:rPr>
          <w:rFonts w:ascii="Gotham Book" w:hAnsi="Gotham Book"/>
        </w:rPr>
      </w:pPr>
      <w:r>
        <w:rPr>
          <w:rFonts w:ascii="Gotham Book" w:hAnsi="Gotham Book"/>
          <w:b/>
          <w:bCs/>
        </w:rPr>
        <w:t>Durée de validité des offres</w:t>
      </w:r>
      <w:r>
        <w:rPr>
          <w:rFonts w:ascii="Gotham Book" w:hAnsi="Gotham Book"/>
        </w:rPr>
        <w:t xml:space="preserve"> : 120 jours à compter de la date limite de remise des offres.</w:t>
      </w:r>
    </w:p>
    <w:p w14:paraId="64B03828" w14:textId="77777777" w:rsidR="00A145F6" w:rsidRDefault="00B954D8">
      <w:pPr>
        <w:pStyle w:val="Titre1"/>
        <w:spacing w:before="400" w:after="200"/>
        <w:rPr>
          <w:rFonts w:ascii="Gotham Book" w:hAnsi="Gotham Book"/>
        </w:rPr>
      </w:pPr>
      <w:r>
        <w:rPr>
          <w:rFonts w:ascii="Gotham Book" w:hAnsi="Gotham Book"/>
          <w:b/>
          <w:bCs/>
          <w:color w:val="1F1F1F"/>
        </w:rPr>
        <w:t>ARTICLE 3 – CONTENU DES CANDIDATURES ET DES OFFRES</w:t>
      </w:r>
    </w:p>
    <w:p w14:paraId="576751B6" w14:textId="77777777" w:rsidR="00A145F6" w:rsidRDefault="00B954D8">
      <w:pPr>
        <w:spacing w:after="120"/>
        <w:jc w:val="both"/>
        <w:rPr>
          <w:rFonts w:ascii="Gotham Book" w:hAnsi="Gotham Book"/>
        </w:rPr>
      </w:pPr>
      <w:r>
        <w:rPr>
          <w:rFonts w:ascii="Gotham Book" w:hAnsi="Gotham Book"/>
        </w:rPr>
        <w:t>Les documents sont rédigés en français. Les prix sont exprimés en euros.</w:t>
      </w:r>
    </w:p>
    <w:p w14:paraId="31B6A4A2" w14:textId="77777777" w:rsidR="00A145F6" w:rsidRDefault="00B954D8">
      <w:pPr>
        <w:pStyle w:val="Titre2"/>
        <w:spacing w:before="200" w:after="100"/>
        <w:rPr>
          <w:rFonts w:ascii="Gotham Book" w:hAnsi="Gotham Book"/>
          <w:color w:val="auto"/>
        </w:rPr>
      </w:pPr>
      <w:r>
        <w:rPr>
          <w:rFonts w:ascii="Gotham Book" w:hAnsi="Gotham Book"/>
          <w:b/>
          <w:bCs/>
          <w:i/>
          <w:iCs/>
          <w:color w:val="auto"/>
        </w:rPr>
        <w:t>3.1 – Candidature</w:t>
      </w:r>
    </w:p>
    <w:p w14:paraId="46D6BBCF" w14:textId="77777777" w:rsidR="00A145F6" w:rsidRDefault="00B954D8">
      <w:pPr>
        <w:pStyle w:val="Paragraphedeliste"/>
        <w:numPr>
          <w:ilvl w:val="0"/>
          <w:numId w:val="1"/>
        </w:numPr>
        <w:spacing w:after="60"/>
        <w:jc w:val="both"/>
        <w:rPr>
          <w:rFonts w:ascii="Gotham Book" w:hAnsi="Gotham Book"/>
        </w:rPr>
      </w:pPr>
      <w:r>
        <w:rPr>
          <w:rFonts w:ascii="Gotham Book" w:hAnsi="Gotham Book"/>
        </w:rPr>
        <w:t>une lettre de candidature (formulaire DC1 ou équivalent), ou un DUME ;</w:t>
      </w:r>
    </w:p>
    <w:p w14:paraId="36EFCFB0" w14:textId="77777777" w:rsidR="00A145F6" w:rsidRDefault="00B954D8">
      <w:pPr>
        <w:pStyle w:val="Paragraphedeliste"/>
        <w:numPr>
          <w:ilvl w:val="0"/>
          <w:numId w:val="1"/>
        </w:numPr>
        <w:spacing w:after="60"/>
        <w:jc w:val="both"/>
        <w:rPr>
          <w:rFonts w:ascii="Gotham Book" w:hAnsi="Gotham Book"/>
        </w:rPr>
      </w:pPr>
      <w:r>
        <w:rPr>
          <w:rFonts w:ascii="Gotham Book" w:hAnsi="Gotham Book"/>
        </w:rPr>
        <w:t>une déclaration sur l’honneur attestant que le candidat n’entre dans aucun cas d’interdiction de soumissionner (articles L2141-1 à L2141-5 et L2141-7 à L2141-11 du code de la commande publique) ;</w:t>
      </w:r>
    </w:p>
    <w:p w14:paraId="28FF6476" w14:textId="77777777" w:rsidR="00A145F6" w:rsidRDefault="00B954D8">
      <w:pPr>
        <w:pStyle w:val="Paragraphedeliste"/>
        <w:numPr>
          <w:ilvl w:val="0"/>
          <w:numId w:val="1"/>
        </w:numPr>
        <w:spacing w:after="60"/>
        <w:jc w:val="both"/>
        <w:rPr>
          <w:rFonts w:ascii="Gotham Book" w:hAnsi="Gotham Book"/>
        </w:rPr>
      </w:pPr>
      <w:r>
        <w:rPr>
          <w:rFonts w:ascii="Gotham Book" w:hAnsi="Gotham Book"/>
        </w:rPr>
        <w:t>une présentation du candidat (formulaire DC2 ou équivalent) avec son chiffre d’affaires des trois derniers exercices disponibles ;</w:t>
      </w:r>
    </w:p>
    <w:p w14:paraId="68BDCE51" w14:textId="77777777" w:rsidR="00A145F6" w:rsidRDefault="00B954D8">
      <w:pPr>
        <w:pStyle w:val="Paragraphedeliste"/>
        <w:numPr>
          <w:ilvl w:val="0"/>
          <w:numId w:val="1"/>
        </w:numPr>
        <w:spacing w:after="60"/>
        <w:jc w:val="both"/>
        <w:rPr>
          <w:rFonts w:ascii="Gotham Book" w:hAnsi="Gotham Book"/>
        </w:rPr>
      </w:pPr>
      <w:r>
        <w:rPr>
          <w:rFonts w:ascii="Gotham Book" w:hAnsi="Gotham Book"/>
        </w:rPr>
        <w:t>une liste de références de prestations similaires réalisées au cours des trois dernières années (gestion de la scolarité, assistance à maîtrise d’ouvrage de systèmes d’information, support utilisateurs) ;</w:t>
      </w:r>
    </w:p>
    <w:p w14:paraId="54A0F641" w14:textId="77777777" w:rsidR="00A145F6" w:rsidRDefault="00B954D8">
      <w:pPr>
        <w:pStyle w:val="Paragraphedeliste"/>
        <w:numPr>
          <w:ilvl w:val="0"/>
          <w:numId w:val="1"/>
        </w:numPr>
        <w:spacing w:after="60"/>
        <w:jc w:val="both"/>
        <w:rPr>
          <w:rFonts w:ascii="Gotham Book" w:hAnsi="Gotham Book"/>
        </w:rPr>
      </w:pPr>
      <w:r>
        <w:rPr>
          <w:rFonts w:ascii="Gotham Book" w:hAnsi="Gotham Book"/>
        </w:rPr>
        <w:t>le CV de l’intervenant proposé.</w:t>
      </w:r>
    </w:p>
    <w:p w14:paraId="3E140CFB" w14:textId="77777777" w:rsidR="00A145F6" w:rsidRDefault="00B954D8">
      <w:pPr>
        <w:pStyle w:val="Titre2"/>
        <w:spacing w:before="200" w:after="100"/>
        <w:rPr>
          <w:rFonts w:ascii="Gotham Book" w:hAnsi="Gotham Book"/>
          <w:color w:val="auto"/>
        </w:rPr>
      </w:pPr>
      <w:r>
        <w:rPr>
          <w:rFonts w:ascii="Gotham Book" w:hAnsi="Gotham Book"/>
          <w:b/>
          <w:bCs/>
          <w:i/>
          <w:iCs/>
          <w:color w:val="auto"/>
        </w:rPr>
        <w:t>3.2 – Offre</w:t>
      </w:r>
    </w:p>
    <w:p w14:paraId="2242CC35" w14:textId="086A6D92" w:rsidR="00A145F6" w:rsidRDefault="00B954D8">
      <w:pPr>
        <w:pStyle w:val="Paragraphedeliste"/>
        <w:numPr>
          <w:ilvl w:val="0"/>
          <w:numId w:val="1"/>
        </w:numPr>
        <w:spacing w:after="60"/>
        <w:jc w:val="both"/>
        <w:rPr>
          <w:rFonts w:ascii="Gotham Book" w:hAnsi="Gotham Book"/>
        </w:rPr>
      </w:pPr>
      <w:r>
        <w:rPr>
          <w:rFonts w:ascii="Gotham Book" w:hAnsi="Gotham Book"/>
        </w:rPr>
        <w:t>le DPGF complété, indiquant le taux journalier moyen (TJM) en euros HT et TTC ;</w:t>
      </w:r>
    </w:p>
    <w:p w14:paraId="77A0CA9E" w14:textId="77777777" w:rsidR="00A145F6" w:rsidRDefault="00B954D8">
      <w:pPr>
        <w:pStyle w:val="Paragraphedeliste"/>
        <w:numPr>
          <w:ilvl w:val="0"/>
          <w:numId w:val="1"/>
        </w:numPr>
        <w:spacing w:after="60"/>
        <w:jc w:val="both"/>
        <w:rPr>
          <w:rFonts w:ascii="Gotham Book" w:hAnsi="Gotham Book"/>
        </w:rPr>
      </w:pPr>
      <w:r>
        <w:rPr>
          <w:rFonts w:ascii="Gotham Book" w:hAnsi="Gotham Book"/>
        </w:rPr>
        <w:t>le mémoire technique, rédigé selon le cadre fourni ;</w:t>
      </w:r>
    </w:p>
    <w:p w14:paraId="6E8A0688" w14:textId="77777777" w:rsidR="00A145F6" w:rsidRDefault="00B954D8">
      <w:pPr>
        <w:pStyle w:val="Paragraphedeliste"/>
        <w:numPr>
          <w:ilvl w:val="0"/>
          <w:numId w:val="1"/>
        </w:numPr>
        <w:spacing w:after="60"/>
        <w:jc w:val="both"/>
        <w:rPr>
          <w:rFonts w:ascii="Gotham Book" w:hAnsi="Gotham Book"/>
        </w:rPr>
      </w:pPr>
      <w:r>
        <w:rPr>
          <w:rFonts w:ascii="Gotham Book" w:hAnsi="Gotham Book"/>
        </w:rPr>
        <w:t>l’acte d’engagement complété, mentionnant le choix du candidat sur le versement de l’avance (article 6 du CCP).</w:t>
      </w:r>
    </w:p>
    <w:p w14:paraId="4029886A" w14:textId="77777777" w:rsidR="00A145F6" w:rsidRDefault="00B954D8">
      <w:pPr>
        <w:spacing w:after="120"/>
        <w:jc w:val="both"/>
        <w:rPr>
          <w:rFonts w:ascii="Gotham Book" w:hAnsi="Gotham Book"/>
        </w:rPr>
      </w:pPr>
      <w:r>
        <w:rPr>
          <w:rFonts w:ascii="Gotham Book" w:hAnsi="Gotham Book"/>
        </w:rPr>
        <w:t>La signature de l’acte d’engagement n’est pas exigée au stade de la remise de l’offre. Elle sera demandée au seul attributaire.</w:t>
      </w:r>
    </w:p>
    <w:p w14:paraId="146331D6" w14:textId="77777777" w:rsidR="00A145F6" w:rsidRDefault="00B954D8">
      <w:pPr>
        <w:spacing w:after="120"/>
        <w:jc w:val="both"/>
        <w:rPr>
          <w:rFonts w:ascii="Gotham Book" w:hAnsi="Gotham Book"/>
        </w:rPr>
      </w:pPr>
      <w:r>
        <w:rPr>
          <w:rFonts w:ascii="Gotham Book" w:hAnsi="Gotham Book"/>
        </w:rPr>
        <w:t>Le TJM est ferme pour la durée du marché. À titre indicatif, le TJM du contrat précédent s’élevait à 380 € HT.</w:t>
      </w:r>
    </w:p>
    <w:p w14:paraId="3C7BA4BA" w14:textId="77777777" w:rsidR="00A145F6" w:rsidRDefault="00B954D8">
      <w:pPr>
        <w:pStyle w:val="Titre1"/>
        <w:spacing w:before="400" w:after="200"/>
        <w:rPr>
          <w:rFonts w:ascii="Gotham Book" w:hAnsi="Gotham Book"/>
        </w:rPr>
      </w:pPr>
      <w:r>
        <w:rPr>
          <w:rFonts w:ascii="Gotham Book" w:hAnsi="Gotham Book"/>
          <w:b/>
          <w:bCs/>
          <w:color w:val="1F1F1F"/>
        </w:rPr>
        <w:t>ARTICLE 4 – JUGEMENT DES OFFRES</w:t>
      </w:r>
    </w:p>
    <w:p w14:paraId="6E6B4012" w14:textId="77777777" w:rsidR="00A145F6" w:rsidRDefault="00B954D8">
      <w:pPr>
        <w:spacing w:after="120"/>
        <w:jc w:val="both"/>
        <w:rPr>
          <w:rFonts w:ascii="Gotham Book" w:hAnsi="Gotham Book"/>
        </w:rPr>
      </w:pPr>
      <w:r>
        <w:rPr>
          <w:rFonts w:ascii="Gotham Book" w:hAnsi="Gotham Book"/>
        </w:rPr>
        <w:t>Le marché est attribué à l’offre économiquement la plus avantageuse, appréciée selon les critères pondérés suivants (articles L2152-7 et R2152-7 du code de la commande publique) :</w:t>
      </w:r>
    </w:p>
    <w:tbl>
      <w:tblPr>
        <w:tblStyle w:val="Grilledutableau"/>
        <w:tblW w:w="9628" w:type="dxa"/>
        <w:tblLook w:val="04A0" w:firstRow="1" w:lastRow="0" w:firstColumn="1" w:lastColumn="0" w:noHBand="0" w:noVBand="1"/>
      </w:tblPr>
      <w:tblGrid>
        <w:gridCol w:w="2300"/>
        <w:gridCol w:w="1650"/>
        <w:gridCol w:w="5678"/>
      </w:tblGrid>
      <w:tr w:rsidR="00A145F6" w14:paraId="0FDE00BE" w14:textId="77777777">
        <w:tc>
          <w:tcPr>
            <w:tcW w:w="2300" w:type="dxa"/>
            <w:shd w:val="clear" w:color="auto" w:fill="D9D9D9"/>
          </w:tcPr>
          <w:p w14:paraId="2385DDD7" w14:textId="77777777" w:rsidR="00A145F6" w:rsidRDefault="00B954D8">
            <w:pPr>
              <w:spacing w:before="60" w:after="60"/>
              <w:rPr>
                <w:rFonts w:ascii="Gotham Book" w:hAnsi="Gotham Book"/>
              </w:rPr>
            </w:pPr>
            <w:r>
              <w:rPr>
                <w:rFonts w:ascii="Gotham Book" w:hAnsi="Gotham Book"/>
                <w:b/>
                <w:bCs/>
              </w:rPr>
              <w:t>Critère</w:t>
            </w:r>
          </w:p>
        </w:tc>
        <w:tc>
          <w:tcPr>
            <w:tcW w:w="1650" w:type="dxa"/>
            <w:shd w:val="clear" w:color="auto" w:fill="D9D9D9"/>
          </w:tcPr>
          <w:p w14:paraId="619C38C7" w14:textId="77777777" w:rsidR="00A145F6" w:rsidRDefault="00B954D8">
            <w:pPr>
              <w:spacing w:before="60" w:after="60"/>
              <w:rPr>
                <w:rFonts w:ascii="Gotham Book" w:hAnsi="Gotham Book"/>
              </w:rPr>
            </w:pPr>
            <w:r>
              <w:rPr>
                <w:rFonts w:ascii="Gotham Book" w:hAnsi="Gotham Book"/>
                <w:b/>
                <w:bCs/>
              </w:rPr>
              <w:t>Pondération</w:t>
            </w:r>
          </w:p>
        </w:tc>
        <w:tc>
          <w:tcPr>
            <w:tcW w:w="5678" w:type="dxa"/>
            <w:shd w:val="clear" w:color="auto" w:fill="D9D9D9"/>
          </w:tcPr>
          <w:p w14:paraId="413B028F" w14:textId="77777777" w:rsidR="00A145F6" w:rsidRDefault="00B954D8">
            <w:pPr>
              <w:spacing w:before="60" w:after="60"/>
              <w:rPr>
                <w:rFonts w:ascii="Gotham Book" w:hAnsi="Gotham Book"/>
              </w:rPr>
            </w:pPr>
            <w:r>
              <w:rPr>
                <w:rFonts w:ascii="Gotham Book" w:hAnsi="Gotham Book"/>
                <w:b/>
                <w:bCs/>
              </w:rPr>
              <w:t>Éléments appréciés</w:t>
            </w:r>
          </w:p>
        </w:tc>
      </w:tr>
      <w:tr w:rsidR="00A145F6" w14:paraId="18C04399" w14:textId="77777777">
        <w:tc>
          <w:tcPr>
            <w:tcW w:w="2300" w:type="dxa"/>
          </w:tcPr>
          <w:p w14:paraId="52CF35DD" w14:textId="77777777" w:rsidR="00A145F6" w:rsidRDefault="00B954D8">
            <w:pPr>
              <w:spacing w:before="60" w:after="60"/>
              <w:rPr>
                <w:rFonts w:ascii="Gotham Book" w:hAnsi="Gotham Book"/>
              </w:rPr>
            </w:pPr>
            <w:r>
              <w:rPr>
                <w:rFonts w:ascii="Gotham Book" w:hAnsi="Gotham Book"/>
                <w:b/>
                <w:bCs/>
              </w:rPr>
              <w:t>1. Valeur technique</w:t>
            </w:r>
          </w:p>
        </w:tc>
        <w:tc>
          <w:tcPr>
            <w:tcW w:w="1650" w:type="dxa"/>
          </w:tcPr>
          <w:p w14:paraId="72524C01" w14:textId="77777777" w:rsidR="00A145F6" w:rsidRDefault="00B954D8">
            <w:pPr>
              <w:spacing w:before="60" w:after="60"/>
              <w:rPr>
                <w:rFonts w:ascii="Gotham Book" w:hAnsi="Gotham Book"/>
              </w:rPr>
            </w:pPr>
            <w:r>
              <w:rPr>
                <w:rFonts w:ascii="Gotham Book" w:hAnsi="Gotham Book"/>
              </w:rPr>
              <w:t>50 %</w:t>
            </w:r>
          </w:p>
        </w:tc>
        <w:tc>
          <w:tcPr>
            <w:tcW w:w="5678" w:type="dxa"/>
          </w:tcPr>
          <w:p w14:paraId="5A3AB1B5" w14:textId="77777777" w:rsidR="00A145F6" w:rsidRDefault="00B954D8">
            <w:pPr>
              <w:spacing w:before="60" w:after="60"/>
              <w:rPr>
                <w:rFonts w:ascii="Gotham Book" w:hAnsi="Gotham Book"/>
              </w:rPr>
            </w:pPr>
            <w:r>
              <w:rPr>
                <w:rFonts w:ascii="Gotham Book" w:hAnsi="Gotham Book"/>
              </w:rPr>
              <w:t>Connaissance d’OASIS et des systèmes de gestion de la scolarité (20 %) ; méthodologie de support, de suivi des tickets et de dialogue avec l’éditeur (20 %) ; disponibilité et organisation lors des périodes de forte activité : concours, rentrée (10 %)</w:t>
            </w:r>
          </w:p>
        </w:tc>
      </w:tr>
      <w:tr w:rsidR="00A145F6" w14:paraId="07937209" w14:textId="77777777">
        <w:tc>
          <w:tcPr>
            <w:tcW w:w="2300" w:type="dxa"/>
          </w:tcPr>
          <w:p w14:paraId="22EE0C11" w14:textId="77777777" w:rsidR="00A145F6" w:rsidRDefault="00B954D8">
            <w:pPr>
              <w:spacing w:before="60" w:after="60"/>
              <w:rPr>
                <w:rFonts w:ascii="Gotham Book" w:hAnsi="Gotham Book"/>
              </w:rPr>
            </w:pPr>
            <w:r>
              <w:rPr>
                <w:rFonts w:ascii="Gotham Book" w:hAnsi="Gotham Book"/>
                <w:b/>
                <w:bCs/>
              </w:rPr>
              <w:t>2. Prix</w:t>
            </w:r>
          </w:p>
        </w:tc>
        <w:tc>
          <w:tcPr>
            <w:tcW w:w="1650" w:type="dxa"/>
          </w:tcPr>
          <w:p w14:paraId="2151A698" w14:textId="77777777" w:rsidR="00A145F6" w:rsidRDefault="00B954D8">
            <w:pPr>
              <w:spacing w:before="60" w:after="60"/>
              <w:rPr>
                <w:rFonts w:ascii="Gotham Book" w:hAnsi="Gotham Book"/>
              </w:rPr>
            </w:pPr>
            <w:r>
              <w:rPr>
                <w:rFonts w:ascii="Gotham Book" w:hAnsi="Gotham Book"/>
              </w:rPr>
              <w:t>40 %</w:t>
            </w:r>
          </w:p>
        </w:tc>
        <w:tc>
          <w:tcPr>
            <w:tcW w:w="5678" w:type="dxa"/>
          </w:tcPr>
          <w:p w14:paraId="5470D475" w14:textId="77777777" w:rsidR="00A145F6" w:rsidRDefault="00B954D8">
            <w:pPr>
              <w:spacing w:before="60" w:after="60"/>
              <w:rPr>
                <w:rFonts w:ascii="Gotham Book" w:hAnsi="Gotham Book"/>
              </w:rPr>
            </w:pPr>
            <w:r>
              <w:rPr>
                <w:rFonts w:ascii="Gotham Book" w:hAnsi="Gotham Book"/>
              </w:rPr>
              <w:t>TJM HT indiqué au DPGF</w:t>
            </w:r>
          </w:p>
        </w:tc>
      </w:tr>
      <w:tr w:rsidR="00A145F6" w14:paraId="5EDB821A" w14:textId="77777777">
        <w:tc>
          <w:tcPr>
            <w:tcW w:w="2300" w:type="dxa"/>
          </w:tcPr>
          <w:p w14:paraId="3E8A7B77" w14:textId="77777777" w:rsidR="00A145F6" w:rsidRDefault="00B954D8">
            <w:pPr>
              <w:spacing w:before="60" w:after="60"/>
              <w:rPr>
                <w:rFonts w:ascii="Gotham Book" w:hAnsi="Gotham Book"/>
              </w:rPr>
            </w:pPr>
            <w:r>
              <w:rPr>
                <w:rFonts w:ascii="Gotham Book" w:hAnsi="Gotham Book"/>
                <w:b/>
                <w:bCs/>
              </w:rPr>
              <w:t>3. Performance environnementale</w:t>
            </w:r>
          </w:p>
        </w:tc>
        <w:tc>
          <w:tcPr>
            <w:tcW w:w="1650" w:type="dxa"/>
          </w:tcPr>
          <w:p w14:paraId="61AF66E9" w14:textId="77777777" w:rsidR="00A145F6" w:rsidRDefault="00B954D8">
            <w:pPr>
              <w:spacing w:before="60" w:after="60"/>
              <w:rPr>
                <w:rFonts w:ascii="Gotham Book" w:hAnsi="Gotham Book"/>
              </w:rPr>
            </w:pPr>
            <w:r>
              <w:rPr>
                <w:rFonts w:ascii="Gotham Book" w:hAnsi="Gotham Book"/>
              </w:rPr>
              <w:t>10 %</w:t>
            </w:r>
          </w:p>
        </w:tc>
        <w:tc>
          <w:tcPr>
            <w:tcW w:w="5678" w:type="dxa"/>
          </w:tcPr>
          <w:p w14:paraId="210BDAF4" w14:textId="77777777" w:rsidR="00A145F6" w:rsidRDefault="00B954D8">
            <w:pPr>
              <w:spacing w:before="60" w:after="60"/>
              <w:rPr>
                <w:rFonts w:ascii="Gotham Book" w:hAnsi="Gotham Book"/>
              </w:rPr>
            </w:pPr>
            <w:r>
              <w:rPr>
                <w:rFonts w:ascii="Gotham Book" w:hAnsi="Gotham Book"/>
              </w:rPr>
              <w:t>Mesures concrètes et mesurables liées à l’exécution : part des interventions à distance et limitation des déplacements, dématérialisation des livrables et des échanges, sobriété des outils et des extractions développés</w:t>
            </w:r>
          </w:p>
        </w:tc>
      </w:tr>
    </w:tbl>
    <w:p w14:paraId="261B19E1" w14:textId="77777777" w:rsidR="00A145F6" w:rsidRDefault="00A145F6">
      <w:pPr>
        <w:spacing w:after="60"/>
        <w:jc w:val="both"/>
        <w:rPr>
          <w:rFonts w:ascii="Gotham Book" w:hAnsi="Gotham Book"/>
        </w:rPr>
      </w:pPr>
    </w:p>
    <w:p w14:paraId="78BC9EEE" w14:textId="77777777" w:rsidR="00A145F6" w:rsidRDefault="00B954D8">
      <w:pPr>
        <w:spacing w:after="120"/>
        <w:jc w:val="both"/>
        <w:rPr>
          <w:rFonts w:ascii="Gotham Book" w:hAnsi="Gotham Book"/>
        </w:rPr>
      </w:pPr>
      <w:r>
        <w:rPr>
          <w:rFonts w:ascii="Gotham Book" w:hAnsi="Gotham Book"/>
        </w:rPr>
        <w:lastRenderedPageBreak/>
        <w:t>Les engagements pris par le candidat dans son mémoire technique, notamment au titre de la performance environnementale, ont valeur contractuelle. Le mémoire technique de l’attributaire est annexé à l’acte d’engagement.</w:t>
      </w:r>
    </w:p>
    <w:p w14:paraId="772A1AA0" w14:textId="77777777" w:rsidR="00A145F6" w:rsidRDefault="00B954D8">
      <w:pPr>
        <w:spacing w:after="120"/>
        <w:jc w:val="both"/>
        <w:rPr>
          <w:rFonts w:ascii="Gotham Book" w:hAnsi="Gotham Book"/>
        </w:rPr>
      </w:pPr>
      <w:r>
        <w:rPr>
          <w:rFonts w:ascii="Gotham Book" w:hAnsi="Gotham Book"/>
          <w:b/>
          <w:bCs/>
        </w:rPr>
        <w:t>Notation du prix</w:t>
      </w:r>
      <w:r>
        <w:rPr>
          <w:rFonts w:ascii="Gotham Book" w:hAnsi="Gotham Book"/>
        </w:rPr>
        <w:t xml:space="preserve"> : note prix = 40 × (TJM le plus bas / TJM de l’offre analysée).</w:t>
      </w:r>
    </w:p>
    <w:p w14:paraId="254C6A3B" w14:textId="77777777" w:rsidR="00A145F6" w:rsidRDefault="00B954D8">
      <w:pPr>
        <w:spacing w:after="120"/>
        <w:jc w:val="both"/>
        <w:rPr>
          <w:rFonts w:ascii="Gotham Book" w:hAnsi="Gotham Book"/>
        </w:rPr>
      </w:pPr>
      <w:r>
        <w:rPr>
          <w:rFonts w:ascii="Gotham Book" w:hAnsi="Gotham Book"/>
          <w:b/>
          <w:bCs/>
        </w:rPr>
        <w:t>Notation des critères 1 et 3</w:t>
      </w:r>
      <w:r>
        <w:rPr>
          <w:rFonts w:ascii="Gotham Book" w:hAnsi="Gotham Book"/>
        </w:rPr>
        <w:t xml:space="preserve"> : chaque élément est noté sur une échelle de 0 (non traité) à 4 (très satisfaisant), puis converti au prorata de sa pondération.</w:t>
      </w:r>
    </w:p>
    <w:p w14:paraId="7F9427E1" w14:textId="77777777" w:rsidR="00A145F6" w:rsidRDefault="00B954D8">
      <w:pPr>
        <w:spacing w:after="120"/>
        <w:jc w:val="both"/>
        <w:rPr>
          <w:rFonts w:ascii="Gotham Book" w:hAnsi="Gotham Book"/>
        </w:rPr>
      </w:pPr>
      <w:r>
        <w:rPr>
          <w:rFonts w:ascii="Gotham Book" w:hAnsi="Gotham Book"/>
        </w:rPr>
        <w:t>Les offres anormalement basses sont traitées conformément aux articles L2152-5 et L2152-6 du code de la commande publique.</w:t>
      </w:r>
    </w:p>
    <w:p w14:paraId="71CAE9C2" w14:textId="77777777" w:rsidR="00A145F6" w:rsidRDefault="00B954D8">
      <w:pPr>
        <w:pStyle w:val="Titre1"/>
        <w:spacing w:before="400" w:after="200"/>
        <w:rPr>
          <w:rFonts w:ascii="Gotham Book" w:hAnsi="Gotham Book"/>
        </w:rPr>
      </w:pPr>
      <w:r>
        <w:rPr>
          <w:rFonts w:ascii="Gotham Book" w:hAnsi="Gotham Book"/>
          <w:b/>
          <w:bCs/>
          <w:color w:val="1F1F1F"/>
        </w:rPr>
        <w:t>ARTICLE 5 – NÉGOCIATION</w:t>
      </w:r>
    </w:p>
    <w:p w14:paraId="10769D9B" w14:textId="77777777" w:rsidR="00A145F6" w:rsidRDefault="00B954D8">
      <w:pPr>
        <w:spacing w:after="120"/>
        <w:jc w:val="both"/>
        <w:rPr>
          <w:rFonts w:ascii="Gotham Book" w:hAnsi="Gotham Book"/>
        </w:rPr>
      </w:pPr>
      <w:r>
        <w:rPr>
          <w:rFonts w:ascii="Gotham Book" w:hAnsi="Gotham Book"/>
        </w:rPr>
        <w:t>Le Conservatoire se réserve la possibilité de négocier avec les trois candidats les mieux classés. La négociation peut porter sur tous les éléments de l’offre, notamment le prix. Le Conservatoire peut aussi attribuer le marché sur la base des offres initiales, sans négociation.</w:t>
      </w:r>
    </w:p>
    <w:p w14:paraId="31890CF7" w14:textId="77777777" w:rsidR="00A145F6" w:rsidRDefault="00B954D8">
      <w:pPr>
        <w:pStyle w:val="Titre1"/>
        <w:spacing w:before="400" w:after="200"/>
        <w:rPr>
          <w:rFonts w:ascii="Gotham Book" w:hAnsi="Gotham Book"/>
        </w:rPr>
      </w:pPr>
      <w:r>
        <w:rPr>
          <w:rFonts w:ascii="Gotham Book" w:hAnsi="Gotham Book"/>
          <w:b/>
          <w:bCs/>
          <w:color w:val="1F1F1F"/>
        </w:rPr>
        <w:t>ARTICLE 6 – REMISE DES OFFRES</w:t>
      </w:r>
    </w:p>
    <w:p w14:paraId="71C32868" w14:textId="09B53217" w:rsidR="00A145F6" w:rsidRDefault="00B954D8">
      <w:pPr>
        <w:spacing w:after="120"/>
        <w:jc w:val="both"/>
        <w:rPr>
          <w:rFonts w:ascii="Gotham Book" w:hAnsi="Gotham Book"/>
        </w:rPr>
      </w:pPr>
      <w:r>
        <w:rPr>
          <w:rFonts w:ascii="Gotham Book" w:hAnsi="Gotham Book"/>
          <w:b/>
          <w:bCs/>
        </w:rPr>
        <w:t>Date et heure limites de remise des offres</w:t>
      </w:r>
      <w:r>
        <w:rPr>
          <w:rFonts w:ascii="Gotham Book" w:hAnsi="Gotham Book"/>
        </w:rPr>
        <w:t xml:space="preserve"> : lundi 30 novembre 2026 à </w:t>
      </w:r>
      <w:r w:rsidR="00113435">
        <w:rPr>
          <w:rFonts w:ascii="Gotham Book" w:hAnsi="Gotham Book"/>
        </w:rPr>
        <w:t>18</w:t>
      </w:r>
      <w:r>
        <w:rPr>
          <w:rFonts w:ascii="Gotham Book" w:hAnsi="Gotham Book"/>
        </w:rPr>
        <w:t>h00</w:t>
      </w:r>
      <w:r>
        <w:rPr>
          <w:rFonts w:ascii="Gotham Book" w:hAnsi="Gotham Book"/>
        </w:rPr>
        <w:t>.</w:t>
      </w:r>
    </w:p>
    <w:p w14:paraId="66F22553" w14:textId="77777777" w:rsidR="00A145F6" w:rsidRDefault="00B954D8">
      <w:pPr>
        <w:spacing w:after="120"/>
        <w:jc w:val="both"/>
        <w:rPr>
          <w:rFonts w:ascii="Gotham Book" w:hAnsi="Gotham Book"/>
        </w:rPr>
      </w:pPr>
      <w:r>
        <w:rPr>
          <w:rFonts w:ascii="Gotham Book" w:hAnsi="Gotham Book"/>
        </w:rPr>
        <w:t>Les offres sont remises exclusivement par voie électronique sur PLACE. Les offres remises sur support papier ou par courriel ne sont pas acceptées. Les offres reçues après la date et l’heure limites ne sont pas examinées.</w:t>
      </w:r>
    </w:p>
    <w:p w14:paraId="728ED19E" w14:textId="792CB16D" w:rsidR="00A145F6" w:rsidRDefault="00B954D8">
      <w:pPr>
        <w:spacing w:after="120"/>
        <w:jc w:val="both"/>
        <w:rPr>
          <w:rFonts w:ascii="Gotham Book" w:hAnsi="Gotham Book"/>
        </w:rPr>
      </w:pPr>
      <w:r>
        <w:rPr>
          <w:rFonts w:ascii="Gotham Book" w:hAnsi="Gotham Book"/>
          <w:b/>
          <w:bCs/>
        </w:rPr>
        <w:t>Questions</w:t>
      </w:r>
      <w:r>
        <w:rPr>
          <w:rFonts w:ascii="Gotham Book" w:hAnsi="Gotham Book"/>
        </w:rPr>
        <w:t xml:space="preserve"> : les candidats posent leurs questions sur PLACE au plus tard </w:t>
      </w:r>
      <w:r>
        <w:rPr>
          <w:rFonts w:ascii="Gotham Book" w:hAnsi="Gotham Book"/>
        </w:rPr>
        <w:t>8</w:t>
      </w:r>
      <w:r>
        <w:rPr>
          <w:rFonts w:ascii="Gotham Book" w:hAnsi="Gotham Book"/>
        </w:rPr>
        <w:t xml:space="preserve"> jours avant la date limite de remise des offres. Le Conservatoire répond à tous les candidats au plus tard </w:t>
      </w:r>
      <w:r>
        <w:rPr>
          <w:rFonts w:ascii="Gotham Book" w:hAnsi="Gotham Book"/>
        </w:rPr>
        <w:t>5</w:t>
      </w:r>
      <w:r>
        <w:rPr>
          <w:rFonts w:ascii="Gotham Book" w:hAnsi="Gotham Book"/>
        </w:rPr>
        <w:t xml:space="preserve"> jours avant cette date.</w:t>
      </w:r>
    </w:p>
    <w:p w14:paraId="6C0C8CE3" w14:textId="77777777" w:rsidR="00A145F6" w:rsidRDefault="00B954D8">
      <w:pPr>
        <w:pStyle w:val="Titre1"/>
        <w:spacing w:before="400" w:after="200"/>
        <w:rPr>
          <w:rFonts w:ascii="Gotham Book" w:hAnsi="Gotham Book"/>
        </w:rPr>
      </w:pPr>
      <w:r>
        <w:rPr>
          <w:rFonts w:ascii="Gotham Book" w:hAnsi="Gotham Book"/>
          <w:b/>
          <w:bCs/>
          <w:color w:val="1F1F1F"/>
        </w:rPr>
        <w:t>ARTICLE 7 – ATTRIBUTION</w:t>
      </w:r>
    </w:p>
    <w:p w14:paraId="3885CF49" w14:textId="4ED119E0" w:rsidR="00A145F6" w:rsidRDefault="00B954D8">
      <w:pPr>
        <w:spacing w:after="120"/>
        <w:jc w:val="both"/>
        <w:rPr>
          <w:rFonts w:ascii="Gotham Book" w:hAnsi="Gotham Book"/>
        </w:rPr>
      </w:pPr>
      <w:r>
        <w:rPr>
          <w:rFonts w:ascii="Gotham Book" w:hAnsi="Gotham Book"/>
        </w:rPr>
        <w:t xml:space="preserve">Avant la signature du marché, l’attributaire produit dans un délai de </w:t>
      </w:r>
      <w:r>
        <w:rPr>
          <w:rFonts w:ascii="Gotham Book" w:hAnsi="Gotham Book"/>
        </w:rPr>
        <w:t>8</w:t>
      </w:r>
      <w:r>
        <w:rPr>
          <w:rFonts w:ascii="Gotham Book" w:hAnsi="Gotham Book"/>
        </w:rPr>
        <w:t xml:space="preserve"> jours :</w:t>
      </w:r>
    </w:p>
    <w:p w14:paraId="006DEFE0" w14:textId="77777777" w:rsidR="00A145F6" w:rsidRDefault="00B954D8">
      <w:pPr>
        <w:pStyle w:val="Paragraphedeliste"/>
        <w:numPr>
          <w:ilvl w:val="0"/>
          <w:numId w:val="1"/>
        </w:numPr>
        <w:spacing w:after="60"/>
        <w:jc w:val="both"/>
        <w:rPr>
          <w:rFonts w:ascii="Gotham Book" w:hAnsi="Gotham Book"/>
        </w:rPr>
      </w:pPr>
      <w:r>
        <w:rPr>
          <w:rFonts w:ascii="Gotham Book" w:hAnsi="Gotham Book"/>
        </w:rPr>
        <w:t>l’attestation de vigilance URSSAF de moins de six mois (articles L8222-1 et D8222-5 du code du travail) ;</w:t>
      </w:r>
    </w:p>
    <w:p w14:paraId="14981B60" w14:textId="77777777" w:rsidR="00A145F6" w:rsidRDefault="00B954D8">
      <w:pPr>
        <w:pStyle w:val="Paragraphedeliste"/>
        <w:numPr>
          <w:ilvl w:val="0"/>
          <w:numId w:val="1"/>
        </w:numPr>
        <w:spacing w:after="60"/>
        <w:jc w:val="both"/>
        <w:rPr>
          <w:rFonts w:ascii="Gotham Book" w:hAnsi="Gotham Book"/>
        </w:rPr>
      </w:pPr>
      <w:r>
        <w:rPr>
          <w:rFonts w:ascii="Gotham Book" w:hAnsi="Gotham Book"/>
        </w:rPr>
        <w:t>les certificats attestant la régularité de sa situation fiscale et sociale ;</w:t>
      </w:r>
    </w:p>
    <w:p w14:paraId="2A5EF1CB" w14:textId="77777777" w:rsidR="00A145F6" w:rsidRDefault="00B954D8">
      <w:pPr>
        <w:pStyle w:val="Paragraphedeliste"/>
        <w:numPr>
          <w:ilvl w:val="0"/>
          <w:numId w:val="1"/>
        </w:numPr>
        <w:spacing w:after="60"/>
        <w:jc w:val="both"/>
        <w:rPr>
          <w:rFonts w:ascii="Gotham Book" w:hAnsi="Gotham Book"/>
        </w:rPr>
      </w:pPr>
      <w:r>
        <w:rPr>
          <w:rFonts w:ascii="Gotham Book" w:hAnsi="Gotham Book"/>
        </w:rPr>
        <w:t>un extrait Kbis ou document équivalent ;</w:t>
      </w:r>
    </w:p>
    <w:p w14:paraId="176EB567" w14:textId="77777777" w:rsidR="00A145F6" w:rsidRDefault="00B954D8">
      <w:pPr>
        <w:pStyle w:val="Paragraphedeliste"/>
        <w:numPr>
          <w:ilvl w:val="0"/>
          <w:numId w:val="1"/>
        </w:numPr>
        <w:spacing w:after="60"/>
        <w:jc w:val="both"/>
        <w:rPr>
          <w:rFonts w:ascii="Gotham Book" w:hAnsi="Gotham Book"/>
        </w:rPr>
      </w:pPr>
      <w:r>
        <w:rPr>
          <w:rFonts w:ascii="Gotham Book" w:hAnsi="Gotham Book"/>
        </w:rPr>
        <w:t>l’acte d’engagement signé.</w:t>
      </w:r>
    </w:p>
    <w:p w14:paraId="0D31F88A" w14:textId="77777777" w:rsidR="00A145F6" w:rsidRDefault="00B954D8">
      <w:pPr>
        <w:spacing w:after="120"/>
        <w:jc w:val="both"/>
        <w:rPr>
          <w:rFonts w:ascii="Gotham Book" w:hAnsi="Gotham Book"/>
        </w:rPr>
      </w:pPr>
      <w:r>
        <w:rPr>
          <w:rFonts w:ascii="Gotham Book" w:hAnsi="Gotham Book"/>
        </w:rPr>
        <w:t>À défaut, son offre est rejetée et le Conservatoire sollicite le candidat classé immédiatement après. Les candidats non retenus sont informés du rejet de leur offre.</w:t>
      </w:r>
    </w:p>
    <w:p w14:paraId="5118863C" w14:textId="77777777" w:rsidR="00A145F6" w:rsidRDefault="00B954D8">
      <w:pPr>
        <w:pStyle w:val="Titre1"/>
        <w:spacing w:before="400" w:after="200"/>
        <w:rPr>
          <w:rFonts w:ascii="Gotham Book" w:hAnsi="Gotham Book"/>
        </w:rPr>
      </w:pPr>
      <w:r>
        <w:rPr>
          <w:rFonts w:ascii="Gotham Book" w:hAnsi="Gotham Book"/>
          <w:b/>
          <w:bCs/>
          <w:color w:val="1F1F1F"/>
        </w:rPr>
        <w:t>ARTICLE 8 – VOIES DE RECOURS</w:t>
      </w:r>
    </w:p>
    <w:p w14:paraId="34E2818E" w14:textId="77777777" w:rsidR="00A145F6" w:rsidRDefault="00B954D8">
      <w:pPr>
        <w:spacing w:after="120"/>
        <w:jc w:val="both"/>
        <w:rPr>
          <w:rFonts w:ascii="Gotham Book" w:hAnsi="Gotham Book"/>
        </w:rPr>
      </w:pPr>
      <w:r>
        <w:rPr>
          <w:rFonts w:ascii="Gotham Book" w:hAnsi="Gotham Book"/>
        </w:rPr>
        <w:t>Tribunal administratif de Paris – 7, rue de Jouy, 75181 Paris Cedex 04 – 01 44 59 44 00 – greffe.ta-paris@juradm.fr.</w:t>
      </w:r>
    </w:p>
    <w:p w14:paraId="7090E6F8" w14:textId="77777777" w:rsidR="00A145F6" w:rsidRDefault="00B954D8">
      <w:pPr>
        <w:spacing w:after="120"/>
        <w:jc w:val="both"/>
        <w:rPr>
          <w:rFonts w:ascii="Gotham Book" w:hAnsi="Gotham Book"/>
        </w:rPr>
      </w:pPr>
      <w:r>
        <w:rPr>
          <w:rFonts w:ascii="Gotham Book" w:hAnsi="Gotham Book"/>
        </w:rPr>
        <w:t>Les candidats peuvent exercer un référé précontractuel avant la signature du marché (article L551-1 du code de justice administrative). Après la signature, ils peuvent former un recours en contestation de validité du contrat dans un délai de deux mois à compter de la publication de l’avis d’attribution.</w:t>
      </w:r>
    </w:p>
    <w:p w14:paraId="01F9B5C1" w14:textId="77777777" w:rsidR="00A145F6" w:rsidRDefault="00B954D8">
      <w:pPr>
        <w:pStyle w:val="Titre1"/>
        <w:spacing w:before="400" w:after="200"/>
        <w:rPr>
          <w:rFonts w:ascii="Gotham Book" w:hAnsi="Gotham Book"/>
        </w:rPr>
      </w:pPr>
      <w:r>
        <w:rPr>
          <w:rFonts w:ascii="Gotham Book" w:hAnsi="Gotham Book"/>
          <w:b/>
          <w:bCs/>
          <w:color w:val="1F1F1F"/>
        </w:rPr>
        <w:t>ARTICLE 9 – CONTACT</w:t>
      </w:r>
    </w:p>
    <w:p w14:paraId="63BE51C0" w14:textId="1188B8EA" w:rsidR="00A145F6" w:rsidRDefault="00B954D8">
      <w:pPr>
        <w:spacing w:after="120"/>
        <w:jc w:val="both"/>
        <w:rPr>
          <w:rFonts w:ascii="Gotham Book" w:hAnsi="Gotham Book"/>
        </w:rPr>
      </w:pPr>
      <w:r>
        <w:rPr>
          <w:rFonts w:ascii="Gotham Book" w:hAnsi="Gotham Book"/>
        </w:rPr>
        <w:t>Service des achats et des marchés publics du CNSMDP</w:t>
      </w:r>
      <w:r w:rsidR="00D5168D">
        <w:rPr>
          <w:rFonts w:ascii="Gotham Book" w:hAnsi="Gotham Book"/>
        </w:rPr>
        <w:t xml:space="preserve">, Emilie </w:t>
      </w:r>
      <w:proofErr w:type="spellStart"/>
      <w:r w:rsidR="00D5168D">
        <w:rPr>
          <w:rFonts w:ascii="Gotham Book" w:hAnsi="Gotham Book"/>
        </w:rPr>
        <w:t>Wilson-Vouters</w:t>
      </w:r>
      <w:proofErr w:type="spellEnd"/>
      <w:r w:rsidR="00D5168D">
        <w:rPr>
          <w:rFonts w:ascii="Gotham Book" w:hAnsi="Gotham Book"/>
        </w:rPr>
        <w:t>, juriste marchés publics au 01 40 40 45 98</w:t>
      </w:r>
    </w:p>
    <w:p w14:paraId="17532C24" w14:textId="77777777" w:rsidR="00A145F6" w:rsidRDefault="00B954D8">
      <w:pPr>
        <w:spacing w:after="120"/>
        <w:jc w:val="both"/>
        <w:rPr>
          <w:rFonts w:ascii="Gotham Book" w:hAnsi="Gotham Book"/>
        </w:rPr>
      </w:pPr>
      <w:r>
        <w:rPr>
          <w:rFonts w:ascii="Gotham Book" w:hAnsi="Gotham Book"/>
        </w:rPr>
        <w:lastRenderedPageBreak/>
        <w:t>Toute question relative à la consultation passe par PLACE, afin que la réponse soit communiquée à l’ensemble des candidats.</w:t>
      </w:r>
    </w:p>
    <w:sectPr w:rsidR="00A145F6">
      <w:footerReference w:type="default" r:id="rId12"/>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9A24E" w14:textId="77777777" w:rsidR="00B954D8" w:rsidRDefault="00B954D8" w:rsidP="00E66FE9">
      <w:r>
        <w:separator/>
      </w:r>
    </w:p>
  </w:endnote>
  <w:endnote w:type="continuationSeparator" w:id="0">
    <w:p w14:paraId="79467745" w14:textId="77777777" w:rsidR="00B954D8" w:rsidRDefault="00B954D8" w:rsidP="00E66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tham Book">
    <w:altName w:val="Calibri"/>
    <w:panose1 w:val="00000000000000000000"/>
    <w:charset w:val="00"/>
    <w:family w:val="modern"/>
    <w:notTrueType/>
    <w:pitch w:val="variable"/>
    <w:sig w:usb0="A10000FF" w:usb1="4000005B" w:usb2="00000000" w:usb3="00000000" w:csb0="0000009B"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4849658"/>
      <w:docPartObj>
        <w:docPartGallery w:val="Page Numbers (Bottom of Page)"/>
        <w:docPartUnique/>
      </w:docPartObj>
    </w:sdtPr>
    <w:sdtEndPr/>
    <w:sdtContent>
      <w:p w14:paraId="7709C377" w14:textId="77777777" w:rsidR="00E66FE9" w:rsidRDefault="00E66FE9">
        <w:pPr>
          <w:pStyle w:val="Pieddepage"/>
          <w:jc w:val="center"/>
        </w:pPr>
        <w:r>
          <w:fldChar w:fldCharType="begin"/>
        </w:r>
        <w:r>
          <w:instrText>PAGE   \* MERGEFORMAT</w:instrText>
        </w:r>
        <w:r>
          <w:fldChar w:fldCharType="separate"/>
        </w:r>
        <w:r>
          <w:t>2</w:t>
        </w:r>
        <w:r>
          <w:fldChar w:fldCharType="end"/>
        </w:r>
      </w:p>
    </w:sdtContent>
  </w:sdt>
  <w:p w14:paraId="4C9CB43A" w14:textId="77777777" w:rsidR="00E66FE9" w:rsidRDefault="00E66FE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67AB7" w14:textId="77777777" w:rsidR="00B954D8" w:rsidRDefault="00B954D8" w:rsidP="00E66FE9">
      <w:r>
        <w:separator/>
      </w:r>
    </w:p>
  </w:footnote>
  <w:footnote w:type="continuationSeparator" w:id="0">
    <w:p w14:paraId="0434D3ED" w14:textId="77777777" w:rsidR="00B954D8" w:rsidRDefault="00B954D8" w:rsidP="00E66F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E87BA3"/>
    <w:multiLevelType w:val="multilevel"/>
    <w:tmpl w:val="EE60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08108C"/>
    <w:multiLevelType w:val="hybridMultilevel"/>
    <w:tmpl w:val="0A42E89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6101C45"/>
    <w:multiLevelType w:val="hybridMultilevel"/>
    <w:tmpl w:val="C7DA86C8"/>
    <w:lvl w:ilvl="0" w:tplc="2F343CAE">
      <w:start w:val="1"/>
      <w:numFmt w:val="bullet"/>
      <w:lvlText w:val="●"/>
      <w:lvlJc w:val="left"/>
      <w:pPr>
        <w:ind w:left="720" w:hanging="360"/>
      </w:pPr>
    </w:lvl>
    <w:lvl w:ilvl="1" w:tplc="6D12B3E4">
      <w:start w:val="1"/>
      <w:numFmt w:val="bullet"/>
      <w:lvlText w:val="○"/>
      <w:lvlJc w:val="left"/>
      <w:pPr>
        <w:ind w:left="1440" w:hanging="360"/>
      </w:pPr>
    </w:lvl>
    <w:lvl w:ilvl="2" w:tplc="B4CC7B5C">
      <w:start w:val="1"/>
      <w:numFmt w:val="bullet"/>
      <w:lvlText w:val="■"/>
      <w:lvlJc w:val="left"/>
      <w:pPr>
        <w:ind w:left="2160" w:hanging="360"/>
      </w:pPr>
    </w:lvl>
    <w:lvl w:ilvl="3" w:tplc="05F00508">
      <w:start w:val="1"/>
      <w:numFmt w:val="bullet"/>
      <w:lvlText w:val="●"/>
      <w:lvlJc w:val="left"/>
      <w:pPr>
        <w:ind w:left="2880" w:hanging="360"/>
      </w:pPr>
    </w:lvl>
    <w:lvl w:ilvl="4" w:tplc="5A94439A">
      <w:start w:val="1"/>
      <w:numFmt w:val="bullet"/>
      <w:lvlText w:val="○"/>
      <w:lvlJc w:val="left"/>
      <w:pPr>
        <w:ind w:left="3600" w:hanging="360"/>
      </w:pPr>
    </w:lvl>
    <w:lvl w:ilvl="5" w:tplc="E41E01A6">
      <w:start w:val="1"/>
      <w:numFmt w:val="bullet"/>
      <w:lvlText w:val="■"/>
      <w:lvlJc w:val="left"/>
      <w:pPr>
        <w:ind w:left="4320" w:hanging="360"/>
      </w:pPr>
    </w:lvl>
    <w:lvl w:ilvl="6" w:tplc="AB543354">
      <w:start w:val="1"/>
      <w:numFmt w:val="bullet"/>
      <w:lvlText w:val="●"/>
      <w:lvlJc w:val="left"/>
      <w:pPr>
        <w:ind w:left="5040" w:hanging="360"/>
      </w:pPr>
    </w:lvl>
    <w:lvl w:ilvl="7" w:tplc="6C904496">
      <w:start w:val="1"/>
      <w:numFmt w:val="bullet"/>
      <w:lvlText w:val="●"/>
      <w:lvlJc w:val="left"/>
      <w:pPr>
        <w:ind w:left="5760" w:hanging="360"/>
      </w:pPr>
    </w:lvl>
    <w:lvl w:ilvl="8" w:tplc="9D122154">
      <w:start w:val="1"/>
      <w:numFmt w:val="bullet"/>
      <w:lvlText w:val="●"/>
      <w:lvlJc w:val="left"/>
      <w:pPr>
        <w:ind w:left="6480" w:hanging="360"/>
      </w:pPr>
    </w:lvl>
  </w:abstractNum>
  <w:abstractNum w:abstractNumId="3" w15:restartNumberingAfterBreak="0">
    <w:nsid w:val="56030BA0"/>
    <w:multiLevelType w:val="multilevel"/>
    <w:tmpl w:val="3CFAD0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25074070">
    <w:abstractNumId w:val="2"/>
    <w:lvlOverride w:ilvl="0">
      <w:startOverride w:val="1"/>
    </w:lvlOverride>
  </w:num>
  <w:num w:numId="2" w16cid:durableId="74209927">
    <w:abstractNumId w:val="1"/>
  </w:num>
  <w:num w:numId="3" w16cid:durableId="1800875341">
    <w:abstractNumId w:val="3"/>
  </w:num>
  <w:num w:numId="4" w16cid:durableId="531721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0D0"/>
    <w:rsid w:val="0000126E"/>
    <w:rsid w:val="000133BB"/>
    <w:rsid w:val="00051F57"/>
    <w:rsid w:val="00095957"/>
    <w:rsid w:val="000B2893"/>
    <w:rsid w:val="00101E56"/>
    <w:rsid w:val="00113435"/>
    <w:rsid w:val="001140D0"/>
    <w:rsid w:val="00124616"/>
    <w:rsid w:val="00160DAD"/>
    <w:rsid w:val="001C00B0"/>
    <w:rsid w:val="002244E8"/>
    <w:rsid w:val="00226945"/>
    <w:rsid w:val="0025188F"/>
    <w:rsid w:val="00256912"/>
    <w:rsid w:val="00263FE3"/>
    <w:rsid w:val="00271406"/>
    <w:rsid w:val="002F201C"/>
    <w:rsid w:val="003B59C1"/>
    <w:rsid w:val="0054408B"/>
    <w:rsid w:val="00597694"/>
    <w:rsid w:val="006258E0"/>
    <w:rsid w:val="006B02D8"/>
    <w:rsid w:val="006E323B"/>
    <w:rsid w:val="007049C3"/>
    <w:rsid w:val="0073569B"/>
    <w:rsid w:val="007657C9"/>
    <w:rsid w:val="007C0623"/>
    <w:rsid w:val="007C2CA7"/>
    <w:rsid w:val="007D3920"/>
    <w:rsid w:val="007F4579"/>
    <w:rsid w:val="009072C0"/>
    <w:rsid w:val="00996F6C"/>
    <w:rsid w:val="009B4685"/>
    <w:rsid w:val="009C17F9"/>
    <w:rsid w:val="009C6955"/>
    <w:rsid w:val="00A101C7"/>
    <w:rsid w:val="00A145F6"/>
    <w:rsid w:val="00AE60C2"/>
    <w:rsid w:val="00B3046F"/>
    <w:rsid w:val="00B36709"/>
    <w:rsid w:val="00B6080D"/>
    <w:rsid w:val="00B954D8"/>
    <w:rsid w:val="00C42FCA"/>
    <w:rsid w:val="00C46FF3"/>
    <w:rsid w:val="00C53FE0"/>
    <w:rsid w:val="00C62AB1"/>
    <w:rsid w:val="00C67263"/>
    <w:rsid w:val="00C8566A"/>
    <w:rsid w:val="00D22548"/>
    <w:rsid w:val="00D5168D"/>
    <w:rsid w:val="00DB5333"/>
    <w:rsid w:val="00DD45D0"/>
    <w:rsid w:val="00E502BA"/>
    <w:rsid w:val="00E66FE9"/>
    <w:rsid w:val="00E70348"/>
    <w:rsid w:val="00EB35AC"/>
    <w:rsid w:val="00EC3237"/>
    <w:rsid w:val="00EC5D5B"/>
    <w:rsid w:val="00EF5A1C"/>
    <w:rsid w:val="00EF706B"/>
    <w:rsid w:val="00F42C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9620E"/>
  <w15:docId w15:val="{F48A2578-4525-48DA-A580-ED21E584A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uiPriority w:val="9"/>
    <w:qFormat/>
    <w:pPr>
      <w:outlineLvl w:val="0"/>
    </w:pPr>
    <w:rPr>
      <w:color w:val="2E74B5"/>
      <w:sz w:val="32"/>
      <w:szCs w:val="32"/>
    </w:rPr>
  </w:style>
  <w:style w:type="paragraph" w:styleId="Titre2">
    <w:name w:val="heading 2"/>
    <w:uiPriority w:val="9"/>
    <w:unhideWhenUsed/>
    <w:qFormat/>
    <w:pPr>
      <w:outlineLvl w:val="1"/>
    </w:pPr>
    <w:rPr>
      <w:color w:val="2E74B5"/>
      <w:sz w:val="26"/>
      <w:szCs w:val="26"/>
    </w:rPr>
  </w:style>
  <w:style w:type="paragraph" w:styleId="Titre3">
    <w:name w:val="heading 3"/>
    <w:uiPriority w:val="9"/>
    <w:semiHidden/>
    <w:unhideWhenUsed/>
    <w:qFormat/>
    <w:pPr>
      <w:outlineLvl w:val="2"/>
    </w:pPr>
    <w:rPr>
      <w:color w:val="1F4D78"/>
      <w:sz w:val="24"/>
      <w:szCs w:val="24"/>
    </w:rPr>
  </w:style>
  <w:style w:type="paragraph" w:styleId="Titre4">
    <w:name w:val="heading 4"/>
    <w:uiPriority w:val="9"/>
    <w:semiHidden/>
    <w:unhideWhenUsed/>
    <w:qFormat/>
    <w:pPr>
      <w:outlineLvl w:val="3"/>
    </w:pPr>
    <w:rPr>
      <w:i/>
      <w:iCs/>
      <w:color w:val="2E74B5"/>
    </w:rPr>
  </w:style>
  <w:style w:type="paragraph" w:styleId="Titre5">
    <w:name w:val="heading 5"/>
    <w:uiPriority w:val="9"/>
    <w:semiHidden/>
    <w:unhideWhenUsed/>
    <w:qFormat/>
    <w:pPr>
      <w:outlineLvl w:val="4"/>
    </w:pPr>
    <w:rPr>
      <w:color w:val="2E74B5"/>
    </w:rPr>
  </w:style>
  <w:style w:type="paragraph" w:styleId="Titre6">
    <w:name w:val="heading 6"/>
    <w:uiPriority w:val="9"/>
    <w:semiHidden/>
    <w:unhideWhenUsed/>
    <w:qFormat/>
    <w:pPr>
      <w:outlineLvl w:val="5"/>
    </w:pPr>
    <w:rPr>
      <w:color w:val="1F4D7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uiPriority w:val="10"/>
    <w:qFormat/>
    <w:rPr>
      <w:sz w:val="56"/>
      <w:szCs w:val="56"/>
    </w:rPr>
  </w:style>
  <w:style w:type="paragraph" w:customStyle="1" w:styleId="lev1">
    <w:name w:val="Élevé1"/>
    <w:qFormat/>
    <w:rPr>
      <w:b/>
      <w:bCs/>
    </w:rPr>
  </w:style>
  <w:style w:type="paragraph" w:styleId="Paragraphedeliste">
    <w:name w:val="List Paragraph"/>
    <w:qFormat/>
  </w:style>
  <w:style w:type="character" w:styleId="Lienhypertexte">
    <w:name w:val="Hyperlink"/>
    <w:uiPriority w:val="99"/>
    <w:unhideWhenUsed/>
    <w:rPr>
      <w:color w:val="0563C1"/>
      <w:u w:val="single"/>
    </w:rPr>
  </w:style>
  <w:style w:type="character" w:styleId="Appelnotedebasdep">
    <w:name w:val="footnote reference"/>
    <w:uiPriority w:val="99"/>
    <w:semiHidden/>
    <w:unhideWhenUsed/>
    <w:rPr>
      <w:vertAlign w:val="superscript"/>
    </w:rPr>
  </w:style>
  <w:style w:type="paragraph" w:styleId="Notedebasdepage">
    <w:name w:val="footnote text"/>
    <w:link w:val="NotedebasdepageCar"/>
    <w:uiPriority w:val="99"/>
    <w:semiHidden/>
    <w:unhideWhenUsed/>
  </w:style>
  <w:style w:type="character" w:customStyle="1" w:styleId="NotedebasdepageCar">
    <w:name w:val="Note de bas de page Car"/>
    <w:link w:val="Notedebasdepage"/>
    <w:uiPriority w:val="99"/>
    <w:semiHidden/>
    <w:unhideWhenUsed/>
    <w:rPr>
      <w:sz w:val="20"/>
      <w:szCs w:val="20"/>
    </w:rPr>
  </w:style>
  <w:style w:type="character" w:styleId="Appeldenotedefin">
    <w:name w:val="endnote reference"/>
    <w:uiPriority w:val="99"/>
    <w:semiHidden/>
    <w:unhideWhenUsed/>
    <w:rPr>
      <w:vertAlign w:val="superscript"/>
    </w:rPr>
  </w:style>
  <w:style w:type="paragraph" w:styleId="Notedefin">
    <w:name w:val="endnote text"/>
    <w:link w:val="NotedefinCar"/>
    <w:uiPriority w:val="99"/>
    <w:semiHidden/>
    <w:unhideWhenUsed/>
  </w:style>
  <w:style w:type="character" w:customStyle="1" w:styleId="NotedefinCar">
    <w:name w:val="Note de fin Car"/>
    <w:link w:val="Notedefin"/>
    <w:uiPriority w:val="99"/>
    <w:semiHidden/>
    <w:unhideWhenUsed/>
    <w:rPr>
      <w:sz w:val="20"/>
      <w:szCs w:val="20"/>
    </w:rPr>
  </w:style>
  <w:style w:type="table" w:styleId="Grilledutableau">
    <w:name w:val="Table Grid"/>
    <w:basedOn w:val="TableauNormal"/>
    <w:uiPriority w:val="39"/>
    <w:rsid w:val="002714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E66FE9"/>
    <w:pPr>
      <w:tabs>
        <w:tab w:val="center" w:pos="4536"/>
        <w:tab w:val="right" w:pos="9072"/>
      </w:tabs>
    </w:pPr>
  </w:style>
  <w:style w:type="character" w:customStyle="1" w:styleId="En-tteCar">
    <w:name w:val="En-tête Car"/>
    <w:basedOn w:val="Policepardfaut"/>
    <w:link w:val="En-tte"/>
    <w:uiPriority w:val="99"/>
    <w:rsid w:val="00E66FE9"/>
  </w:style>
  <w:style w:type="paragraph" w:styleId="Pieddepage">
    <w:name w:val="footer"/>
    <w:basedOn w:val="Normal"/>
    <w:link w:val="PieddepageCar"/>
    <w:uiPriority w:val="99"/>
    <w:unhideWhenUsed/>
    <w:rsid w:val="00E66FE9"/>
    <w:pPr>
      <w:tabs>
        <w:tab w:val="center" w:pos="4536"/>
        <w:tab w:val="right" w:pos="9072"/>
      </w:tabs>
    </w:pPr>
  </w:style>
  <w:style w:type="character" w:customStyle="1" w:styleId="PieddepageCar">
    <w:name w:val="Pied de page Car"/>
    <w:basedOn w:val="Policepardfaut"/>
    <w:link w:val="Pieddepage"/>
    <w:uiPriority w:val="99"/>
    <w:rsid w:val="00E66FE9"/>
  </w:style>
  <w:style w:type="character" w:styleId="Marquedecommentaire">
    <w:name w:val="annotation reference"/>
    <w:basedOn w:val="Policepardfaut"/>
    <w:uiPriority w:val="99"/>
    <w:semiHidden/>
    <w:unhideWhenUsed/>
    <w:rsid w:val="00D22548"/>
    <w:rPr>
      <w:sz w:val="16"/>
      <w:szCs w:val="16"/>
    </w:rPr>
  </w:style>
  <w:style w:type="paragraph" w:styleId="Commentaire">
    <w:name w:val="annotation text"/>
    <w:basedOn w:val="Normal"/>
    <w:link w:val="CommentaireCar"/>
    <w:uiPriority w:val="99"/>
    <w:unhideWhenUsed/>
    <w:rsid w:val="00D22548"/>
  </w:style>
  <w:style w:type="character" w:customStyle="1" w:styleId="CommentaireCar">
    <w:name w:val="Commentaire Car"/>
    <w:basedOn w:val="Policepardfaut"/>
    <w:link w:val="Commentaire"/>
    <w:uiPriority w:val="99"/>
    <w:rsid w:val="00D22548"/>
  </w:style>
  <w:style w:type="paragraph" w:styleId="Objetducommentaire">
    <w:name w:val="annotation subject"/>
    <w:basedOn w:val="Commentaire"/>
    <w:next w:val="Commentaire"/>
    <w:link w:val="ObjetducommentaireCar"/>
    <w:uiPriority w:val="99"/>
    <w:semiHidden/>
    <w:unhideWhenUsed/>
    <w:rsid w:val="00D22548"/>
    <w:rPr>
      <w:b/>
      <w:bCs/>
    </w:rPr>
  </w:style>
  <w:style w:type="character" w:customStyle="1" w:styleId="ObjetducommentaireCar">
    <w:name w:val="Objet du commentaire Car"/>
    <w:basedOn w:val="CommentaireCar"/>
    <w:link w:val="Objetducommentaire"/>
    <w:uiPriority w:val="99"/>
    <w:semiHidden/>
    <w:rsid w:val="00D225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5d10d52-6b40-4983-b994-53ab761459e4">
      <Terms xmlns="http://schemas.microsoft.com/office/infopath/2007/PartnerControls"/>
    </lcf76f155ced4ddcb4097134ff3c332f>
    <Emplacement xmlns="85d10d52-6b40-4983-b994-53ab761459e4" xsi:nil="true"/>
    <TaxCatchAll xmlns="b18581bb-6ff3-4da0-83f8-7acb3fe64bd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1F858C71AEC8F4B99ADE7B442A09102" ma:contentTypeVersion="25" ma:contentTypeDescription="Crée un document." ma:contentTypeScope="" ma:versionID="f0805d44d8b220dad4c874afb8bd627a">
  <xsd:schema xmlns:xsd="http://www.w3.org/2001/XMLSchema" xmlns:xs="http://www.w3.org/2001/XMLSchema" xmlns:p="http://schemas.microsoft.com/office/2006/metadata/properties" xmlns:ns2="b18581bb-6ff3-4da0-83f8-7acb3fe64bdb" xmlns:ns3="85d10d52-6b40-4983-b994-53ab761459e4" targetNamespace="http://schemas.microsoft.com/office/2006/metadata/properties" ma:root="true" ma:fieldsID="02e3a497517e47f2effd7edd22dcd8c0" ns2:_="" ns3:_="">
    <xsd:import namespace="b18581bb-6ff3-4da0-83f8-7acb3fe64bdb"/>
    <xsd:import namespace="85d10d52-6b40-4983-b994-53ab761459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ObjectDetectorVersions" minOccurs="0"/>
                <xsd:element ref="ns3:MediaServiceLocation" minOccurs="0"/>
                <xsd:element ref="ns3:MediaServiceSearchProperties" minOccurs="0"/>
                <xsd:element ref="ns3:Emplacement" minOccurs="0"/>
                <xsd:element ref="ns3:CountryOrRegion710f36d6-716f-44bc-bb89-9f588075aa3b" minOccurs="0"/>
                <xsd:element ref="ns3:State710f36d6-716f-44bc-bb89-9f588075aa3b" minOccurs="0"/>
                <xsd:element ref="ns3:City710f36d6-716f-44bc-bb89-9f588075aa3b" minOccurs="0"/>
                <xsd:element ref="ns3:PostalCode710f36d6-716f-44bc-bb89-9f588075aa3b" minOccurs="0"/>
                <xsd:element ref="ns3:Street710f36d6-716f-44bc-bb89-9f588075aa3b" minOccurs="0"/>
                <xsd:element ref="ns3:GeoLoc710f36d6-716f-44bc-bb89-9f588075aa3b" minOccurs="0"/>
                <xsd:element ref="ns3:DispName710f36d6-716f-44bc-bb89-9f588075aa3b"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8581bb-6ff3-4da0-83f8-7acb3fe64bdb"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TaxCatchAll" ma:index="16" nillable="true" ma:displayName="Taxonomy Catch All Column" ma:hidden="true" ma:list="{6c196604-5da2-435f-9d56-5792f9d3e516}" ma:internalName="TaxCatchAll" ma:showField="CatchAllData" ma:web="b18581bb-6ff3-4da0-83f8-7acb3fe64bd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5d10d52-6b40-4983-b994-53ab761459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55e8b748-52cb-42c2-ad73-b140d7ba2ab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Emplacement" ma:index="25" nillable="true" ma:displayName="Emplacement" ma:format="Dropdown" ma:internalName="Emplacement">
      <xsd:simpleType>
        <xsd:restriction base="dms:Unknown"/>
      </xsd:simpleType>
    </xsd:element>
    <xsd:element name="CountryOrRegion710f36d6-716f-44bc-bb89-9f588075aa3b" ma:index="26" nillable="true" ma:displayName="Emplacement : Pays/région" ma:internalName="CountryOrRegion" ma:readOnly="true">
      <xsd:simpleType>
        <xsd:restriction base="dms:Text"/>
      </xsd:simpleType>
    </xsd:element>
    <xsd:element name="State710f36d6-716f-44bc-bb89-9f588075aa3b" ma:index="27" nillable="true" ma:displayName="Emplacement : État" ma:internalName="State" ma:readOnly="true">
      <xsd:simpleType>
        <xsd:restriction base="dms:Text"/>
      </xsd:simpleType>
    </xsd:element>
    <xsd:element name="City710f36d6-716f-44bc-bb89-9f588075aa3b" ma:index="28" nillable="true" ma:displayName="Emplacement : Ville" ma:internalName="City" ma:readOnly="true">
      <xsd:simpleType>
        <xsd:restriction base="dms:Text"/>
      </xsd:simpleType>
    </xsd:element>
    <xsd:element name="PostalCode710f36d6-716f-44bc-bb89-9f588075aa3b" ma:index="29" nillable="true" ma:displayName="Emplacement : Code postal" ma:internalName="PostalCode" ma:readOnly="true">
      <xsd:simpleType>
        <xsd:restriction base="dms:Text"/>
      </xsd:simpleType>
    </xsd:element>
    <xsd:element name="Street710f36d6-716f-44bc-bb89-9f588075aa3b" ma:index="30" nillable="true" ma:displayName="Emplacement : Rue" ma:internalName="Street" ma:readOnly="true">
      <xsd:simpleType>
        <xsd:restriction base="dms:Text"/>
      </xsd:simpleType>
    </xsd:element>
    <xsd:element name="GeoLoc710f36d6-716f-44bc-bb89-9f588075aa3b" ma:index="31" nillable="true" ma:displayName="Emplacement : Coordonnées" ma:internalName="GeoLoc" ma:readOnly="true">
      <xsd:simpleType>
        <xsd:restriction base="dms:Unknown"/>
      </xsd:simpleType>
    </xsd:element>
    <xsd:element name="DispName710f36d6-716f-44bc-bb89-9f588075aa3b" ma:index="32" nillable="true" ma:displayName="Emplacement : nom" ma:internalName="DispNa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0A643-A7EE-46D7-B557-325CD12CBF3E}">
  <ds:schemaRefs>
    <ds:schemaRef ds:uri="http://schemas.microsoft.com/office/2006/metadata/properties"/>
    <ds:schemaRef ds:uri="http://schemas.microsoft.com/office/infopath/2007/PartnerControls"/>
    <ds:schemaRef ds:uri="85d10d52-6b40-4983-b994-53ab761459e4"/>
    <ds:schemaRef ds:uri="b18581bb-6ff3-4da0-83f8-7acb3fe64bdb"/>
  </ds:schemaRefs>
</ds:datastoreItem>
</file>

<file path=customXml/itemProps2.xml><?xml version="1.0" encoding="utf-8"?>
<ds:datastoreItem xmlns:ds="http://schemas.openxmlformats.org/officeDocument/2006/customXml" ds:itemID="{9C673A5E-E4D5-422F-9B14-3C68E41067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8581bb-6ff3-4da0-83f8-7acb3fe64bdb"/>
    <ds:schemaRef ds:uri="85d10d52-6b40-4983-b994-53ab761459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46594D-6097-4F41-9284-2865B75DCA76}">
  <ds:schemaRefs>
    <ds:schemaRef ds:uri="http://schemas.microsoft.com/sharepoint/v3/contenttype/forms"/>
  </ds:schemaRefs>
</ds:datastoreItem>
</file>

<file path=customXml/itemProps4.xml><?xml version="1.0" encoding="utf-8"?>
<ds:datastoreItem xmlns:ds="http://schemas.openxmlformats.org/officeDocument/2006/customXml" ds:itemID="{DF71D5A2-D850-47EC-BAF0-B91AB16DA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1284</Words>
  <Characters>7064</Characters>
  <Application>Microsoft Office Word</Application>
  <DocSecurity>0</DocSecurity>
  <Lines>58</Lines>
  <Paragraphs>16</Paragraphs>
  <ScaleCrop>false</ScaleCrop>
  <Company/>
  <LinksUpToDate>false</LinksUpToDate>
  <CharactersWithSpaces>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WILSON-VOUTERS Emilie</cp:lastModifiedBy>
  <cp:revision>3</cp:revision>
  <dcterms:created xsi:type="dcterms:W3CDTF">2026-11-05T16:05:00Z</dcterms:created>
  <dcterms:modified xsi:type="dcterms:W3CDTF">2026-11-05T16:19:00Z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0x01010081F858C71AEC8F4B99ADE7B442A09102</vt:lpwstr>
  </property>
  <property fmtid="{D5CDD505-2E9C-101B-9397-08002B2CF9AE}" pid="3" name="MediaServiceImageTags">
    <vt:lpwstr/>
  </property>
</Properties>
</file>