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Marianne" w:hAnsi="Marianne"/>
          <w:b/>
          <w:bCs/>
          <w:sz w:val="24"/>
          <w:szCs w:val="24"/>
        </w:rPr>
      </w:pPr>
    </w:p>
    <w:p>
      <w:pPr>
        <w:tabs>
          <w:tab w:val="left" w:pos="1515"/>
        </w:tabs>
        <w:jc w:val="center"/>
        <w:rPr>
          <w:rFonts w:ascii="Marianne" w:hAnsi="Marianne"/>
          <w:b/>
          <w:bCs/>
          <w:sz w:val="24"/>
          <w:szCs w:val="24"/>
        </w:rPr>
      </w:pPr>
      <w:r>
        <w:rPr>
          <w:rFonts w:ascii="Marianne" w:hAnsi="Marianne"/>
          <w:b/>
          <w:bCs/>
          <w:sz w:val="24"/>
          <w:szCs w:val="24"/>
        </w:rPr>
        <w:t>Cadre de réponse pour le marché de travaux de démolition, désamiantage et déplombage au sein du Centre des Finances Public de Toul dans le cadre de l’opération de création de la Maison de l’Etat de Toul</w:t>
      </w:r>
    </w:p>
    <w:p>
      <w:pPr>
        <w:pStyle w:val="Citationintense"/>
        <w:rPr>
          <w:rFonts w:ascii="Marianne" w:hAnsi="Marianne"/>
          <w:b/>
          <w:bCs/>
          <w:sz w:val="32"/>
          <w:szCs w:val="32"/>
        </w:rPr>
      </w:pPr>
      <w:r>
        <w:rPr>
          <w:rFonts w:ascii="Marianne" w:hAnsi="Marianne"/>
          <w:b/>
          <w:bCs/>
          <w:sz w:val="32"/>
          <w:szCs w:val="32"/>
        </w:rPr>
        <w:t>Cadre de réponse valant offre technique du candidat</w:t>
      </w:r>
    </w:p>
    <w:p>
      <w:pPr>
        <w:tabs>
          <w:tab w:val="left" w:pos="1515"/>
        </w:tabs>
        <w:rPr>
          <w:rFonts w:ascii="Marianne" w:hAnsi="Marianne"/>
          <w:b/>
          <w:bCs/>
          <w:color w:val="1F3864" w:themeColor="accent1" w:themeShade="80"/>
        </w:rPr>
      </w:pPr>
      <w:r>
        <w:rPr>
          <w:rFonts w:ascii="Marianne" w:hAnsi="Marianne"/>
          <w:b/>
          <w:bCs/>
          <w:color w:val="1F3864" w:themeColor="accent1" w:themeShade="80"/>
        </w:rPr>
        <w:t xml:space="preserve">Mandataire : </w:t>
      </w:r>
      <w:r>
        <w:rPr>
          <w:rFonts w:ascii="Marianne" w:hAnsi="Marianne"/>
          <w:color w:val="1F3864" w:themeColor="accent1" w:themeShade="80"/>
          <w:sz w:val="16"/>
          <w:szCs w:val="16"/>
        </w:rPr>
        <w:t>A renseigner</w:t>
      </w:r>
      <w:r>
        <w:rPr>
          <w:rFonts w:ascii="Marianne" w:hAnsi="Marianne"/>
          <w:b/>
          <w:bCs/>
          <w:color w:val="1F3864" w:themeColor="accent1" w:themeShade="80"/>
        </w:rPr>
        <w:t xml:space="preserve"> </w:t>
      </w:r>
    </w:p>
    <w:p>
      <w:pPr>
        <w:tabs>
          <w:tab w:val="left" w:pos="1515"/>
        </w:tabs>
        <w:rPr>
          <w:rFonts w:ascii="Marianne" w:hAnsi="Marianne"/>
          <w:color w:val="1F3864" w:themeColor="accent1" w:themeShade="80"/>
          <w:sz w:val="16"/>
          <w:szCs w:val="16"/>
        </w:rPr>
      </w:pPr>
      <w:r>
        <w:rPr>
          <w:rFonts w:ascii="Marianne" w:hAnsi="Marianne"/>
          <w:b/>
          <w:bCs/>
          <w:color w:val="1F3864" w:themeColor="accent1" w:themeShade="80"/>
        </w:rPr>
        <w:t>Cotraitants :</w:t>
      </w:r>
      <w:r>
        <w:rPr>
          <w:rFonts w:ascii="Marianne" w:hAnsi="Marianne"/>
          <w:color w:val="1F3864" w:themeColor="accent1" w:themeShade="80"/>
        </w:rPr>
        <w:t xml:space="preserve"> </w:t>
      </w:r>
      <w:r>
        <w:rPr>
          <w:rFonts w:ascii="Marianne" w:hAnsi="Marianne"/>
          <w:color w:val="1F3864" w:themeColor="accent1" w:themeShade="80"/>
          <w:sz w:val="16"/>
          <w:szCs w:val="16"/>
        </w:rPr>
        <w:t>A renseigner</w:t>
      </w:r>
    </w:p>
    <w:p>
      <w:pPr>
        <w:jc w:val="right"/>
        <w:rPr>
          <w:rFonts w:ascii="Marianne" w:hAnsi="Marianne" w:cs="Arial"/>
          <w:b/>
          <w:bCs/>
          <w:i/>
          <w:iCs/>
          <w:sz w:val="18"/>
          <w:szCs w:val="18"/>
        </w:rPr>
      </w:pPr>
      <w:r>
        <w:rPr>
          <w:rFonts w:ascii="Marianne" w:hAnsi="Marianne" w:cs="Arial"/>
          <w:b/>
          <w:bCs/>
          <w:i/>
          <w:iCs/>
          <w:sz w:val="18"/>
          <w:szCs w:val="18"/>
        </w:rPr>
        <w:t>A compléter par le candidat</w:t>
      </w:r>
    </w:p>
    <w:p>
      <w:pPr>
        <w:jc w:val="right"/>
        <w:rPr>
          <w:rFonts w:ascii="Marianne" w:hAnsi="Marianne" w:cs="Arial"/>
          <w:b/>
          <w:bCs/>
          <w:i/>
          <w:iCs/>
          <w:sz w:val="18"/>
          <w:szCs w:val="18"/>
        </w:rPr>
      </w:pPr>
      <w:r>
        <w:rPr>
          <w:rFonts w:ascii="Marianne" w:hAnsi="Marianne" w:cs="Arial"/>
          <w:b/>
          <w:bCs/>
          <w:i/>
          <w:iCs/>
          <w:sz w:val="18"/>
          <w:szCs w:val="18"/>
        </w:rPr>
        <w:t xml:space="preserve">un seul cadre de réponse doit être rendu même en cas de groupement </w:t>
      </w:r>
    </w:p>
    <w:p>
      <w:pPr>
        <w:tabs>
          <w:tab w:val="left" w:pos="1515"/>
        </w:tabs>
        <w:rPr>
          <w:rFonts w:ascii="Marianne" w:hAnsi="Marianne"/>
          <w:b/>
          <w:bCs/>
          <w:color w:val="1F3864" w:themeColor="accent1" w:themeShade="80"/>
        </w:rPr>
      </w:pPr>
    </w:p>
    <w:p>
      <w:pPr>
        <w:rPr>
          <w:rFonts w:ascii="Marianne" w:eastAsia="Calibri" w:hAnsi="Marianne" w:cstheme="minorHAnsi"/>
          <w:b/>
        </w:rPr>
      </w:pPr>
      <w:r>
        <w:rPr>
          <w:rFonts w:ascii="Marianne" w:eastAsia="Calibri" w:hAnsi="Marianne" w:cstheme="minorHAnsi"/>
          <w:b/>
        </w:rPr>
        <w:br w:type="page"/>
      </w:r>
    </w:p>
    <w:p>
      <w:pPr>
        <w:rPr>
          <w:rFonts w:ascii="Marianne" w:hAnsi="Marianne" w:cstheme="minorHAnsi"/>
          <w:b/>
          <w:bCs/>
          <w:color w:val="2F5496" w:themeColor="accent1" w:themeShade="BF"/>
          <w:u w:val="single"/>
        </w:rPr>
      </w:pPr>
      <w:r>
        <w:rPr>
          <w:rFonts w:ascii="Marianne" w:hAnsi="Marianne" w:cstheme="minorHAnsi"/>
          <w:b/>
          <w:bCs/>
          <w:color w:val="2F5496" w:themeColor="accent1" w:themeShade="BF"/>
          <w:u w:val="single"/>
        </w:rPr>
        <w:lastRenderedPageBreak/>
        <w:t xml:space="preserve">Note explicative </w:t>
      </w:r>
    </w:p>
    <w:p>
      <w:pPr>
        <w:jc w:val="both"/>
        <w:rPr>
          <w:rFonts w:ascii="Marianne" w:hAnsi="Marianne" w:cstheme="minorHAnsi"/>
          <w:bCs/>
        </w:rPr>
      </w:pPr>
      <w:r>
        <w:rPr>
          <w:rFonts w:ascii="Marianne" w:hAnsi="Marianne" w:cstheme="minorHAnsi"/>
          <w:bCs/>
        </w:rPr>
        <w:t>La présente trame de ce mémoire qui est à compléter obligatoirement par les candidats doit permettre d’étudier la valeur technique et les dispositions environnementales des offres.</w:t>
      </w:r>
    </w:p>
    <w:p>
      <w:pPr>
        <w:autoSpaceDE w:val="0"/>
        <w:autoSpaceDN w:val="0"/>
        <w:adjustRightInd w:val="0"/>
        <w:spacing w:after="0" w:line="240" w:lineRule="auto"/>
        <w:jc w:val="both"/>
        <w:rPr>
          <w:rFonts w:ascii="Marianne" w:hAnsi="Marianne" w:cstheme="minorHAnsi"/>
          <w:bCs/>
        </w:rPr>
      </w:pPr>
      <w:r>
        <w:rPr>
          <w:rFonts w:ascii="Marianne" w:hAnsi="Marianne" w:cstheme="minorHAnsi"/>
          <w:bCs/>
        </w:rPr>
        <w:t>Les candidats doivent adopter une rédaction précise et synthétique afin de faciliter l’analyse de l’offre par la personne publique. Les éléments trop génériques de présentation, les trop nombreuses références ou les éléments hors sujets sont à éviter autant que possible.</w:t>
      </w:r>
    </w:p>
    <w:p>
      <w:pPr>
        <w:autoSpaceDE w:val="0"/>
        <w:autoSpaceDN w:val="0"/>
        <w:adjustRightInd w:val="0"/>
        <w:spacing w:after="0" w:line="240" w:lineRule="auto"/>
        <w:jc w:val="both"/>
        <w:rPr>
          <w:rFonts w:ascii="Marianne" w:hAnsi="Marianne" w:cstheme="minorHAnsi"/>
          <w:bCs/>
        </w:rPr>
      </w:pPr>
    </w:p>
    <w:p>
      <w:pPr>
        <w:jc w:val="both"/>
        <w:rPr>
          <w:rFonts w:ascii="Marianne" w:hAnsi="Marianne" w:cstheme="minorHAnsi"/>
          <w:bCs/>
        </w:rPr>
      </w:pPr>
      <w:r>
        <w:rPr>
          <w:rFonts w:ascii="Marianne" w:hAnsi="Marianne" w:cstheme="minorHAnsi"/>
          <w:bCs/>
        </w:rPr>
        <w:t>Le cadre de réponse recommandera un nombre de pages maximal à ne pas dépasser pour chaque réponse. Son niveau de détail devra permettre de comprendre le contenu technique de l’offre.</w:t>
      </w:r>
      <w:r>
        <w:rPr>
          <w:rFonts w:ascii="Marianne" w:hAnsi="Marianne" w:cs="Arial"/>
          <w:lang w:eastAsia="fr-FR"/>
        </w:rPr>
        <w:t xml:space="preserve"> </w:t>
      </w:r>
    </w:p>
    <w:p>
      <w:pPr>
        <w:jc w:val="both"/>
        <w:rPr>
          <w:rFonts w:ascii="Marianne" w:hAnsi="Marianne" w:cstheme="minorHAnsi"/>
          <w:bCs/>
        </w:rPr>
      </w:pPr>
      <w:r>
        <w:rPr>
          <w:rFonts w:ascii="Marianne" w:hAnsi="Marianne" w:cstheme="minorHAnsi"/>
          <w:bCs/>
        </w:rPr>
        <w:t xml:space="preserve">Ne pas dépasser </w:t>
      </w:r>
      <w:r>
        <w:rPr>
          <w:rFonts w:ascii="Marianne" w:hAnsi="Marianne" w:cstheme="minorHAnsi"/>
          <w:b/>
        </w:rPr>
        <w:t xml:space="preserve">15 pages </w:t>
      </w:r>
      <w:r>
        <w:rPr>
          <w:rFonts w:ascii="Marianne" w:hAnsi="Marianne" w:cstheme="minorHAnsi"/>
          <w:bCs/>
        </w:rPr>
        <w:t xml:space="preserve">hors page de garde et la présente page et </w:t>
      </w:r>
      <w:r>
        <w:rPr>
          <w:rFonts w:ascii="Marianne" w:hAnsi="Marianne" w:cstheme="minorHAnsi"/>
          <w:bCs/>
        </w:rPr>
        <w:t>hors annexes (organigramme, procédures internes).</w:t>
      </w:r>
      <w:r>
        <w:rPr>
          <w:rFonts w:ascii="Marianne" w:hAnsi="Marianne" w:cstheme="minorHAnsi"/>
          <w:bCs/>
        </w:rPr>
        <w:t xml:space="preserve"> </w:t>
      </w:r>
      <w:r>
        <w:rPr>
          <w:rFonts w:ascii="Marianne" w:hAnsi="Marianne" w:cs="Arial"/>
          <w:lang w:eastAsia="fr-FR"/>
        </w:rPr>
        <w:t>F</w:t>
      </w:r>
      <w:r>
        <w:rPr>
          <w:rFonts w:ascii="Marianne" w:hAnsi="Marianne" w:cs="Arial"/>
          <w:lang w:eastAsia="fr-FR"/>
        </w:rPr>
        <w:t>ormat A4, police de caractère times new roman</w:t>
      </w:r>
      <w:r>
        <w:rPr>
          <w:rFonts w:ascii="Marianne" w:hAnsi="Marianne" w:cs="Arial"/>
          <w:lang w:eastAsia="fr-FR"/>
        </w:rPr>
        <w:t>,</w:t>
      </w:r>
      <w:r>
        <w:rPr>
          <w:rFonts w:ascii="Marianne" w:hAnsi="Marianne" w:cstheme="minorHAnsi"/>
          <w:bCs/>
        </w:rPr>
        <w:t xml:space="preserve"> police entre 10 et 12</w:t>
      </w:r>
      <w:r>
        <w:rPr>
          <w:rFonts w:ascii="Marianne" w:hAnsi="Marianne" w:cs="Arial"/>
          <w:lang w:eastAsia="fr-FR"/>
        </w:rPr>
        <w:t>, interligne simple</w:t>
      </w:r>
      <w:r>
        <w:rPr>
          <w:rFonts w:ascii="Marianne" w:hAnsi="Marianne" w:cs="Arial"/>
          <w:lang w:eastAsia="fr-FR"/>
        </w:rPr>
        <w:t>.</w:t>
      </w:r>
    </w:p>
    <w:p>
      <w:pPr>
        <w:jc w:val="both"/>
        <w:rPr>
          <w:rFonts w:ascii="Marianne" w:hAnsi="Marianne" w:cstheme="minorHAnsi"/>
          <w:bCs/>
        </w:rPr>
      </w:pPr>
    </w:p>
    <w:p>
      <w:pPr>
        <w:jc w:val="both"/>
        <w:rPr>
          <w:rFonts w:ascii="Marianne" w:hAnsi="Marianne" w:cstheme="minorHAnsi"/>
          <w:b/>
        </w:rPr>
      </w:pPr>
      <w:r>
        <w:rPr>
          <w:rFonts w:ascii="Marianne" w:hAnsi="Marianne" w:cstheme="minorHAnsi"/>
          <w:b/>
        </w:rPr>
        <w:t xml:space="preserve">Le non-respect du présent formalisme (structure du mémoire, contenu attendu des rubriques et nombre maximal de pages autorisé) est susceptible de rendre l'offre irrégulière dans les conditions prévues par le règlement de la consultation. </w:t>
      </w:r>
    </w:p>
    <w:p>
      <w:pPr>
        <w:rPr>
          <w:rFonts w:ascii="Marianne" w:eastAsia="Calibri" w:hAnsi="Marianne" w:cstheme="minorHAnsi"/>
          <w:b/>
          <w:u w:val="single"/>
        </w:rPr>
      </w:pPr>
      <w:r>
        <w:rPr>
          <w:rFonts w:ascii="Marianne" w:eastAsia="Calibri" w:hAnsi="Marianne" w:cstheme="minorHAnsi"/>
          <w:b/>
          <w:u w:val="single"/>
        </w:rPr>
        <w:br w:type="page"/>
      </w:r>
      <w:r>
        <w:rPr>
          <w:rFonts w:ascii="Marianne" w:eastAsia="Calibri" w:hAnsi="Marianne" w:cstheme="minorHAnsi"/>
          <w:b/>
          <w:u w:val="single"/>
        </w:rPr>
        <w:lastRenderedPageBreak/>
        <w:t>1.Valeur technique de l’offre (40 points) ;</w:t>
      </w:r>
    </w:p>
    <w:p>
      <w:pPr>
        <w:pStyle w:val="NormalWeb"/>
        <w:jc w:val="both"/>
        <w:rPr>
          <w:rFonts w:ascii="Marianne" w:eastAsia="Calibri" w:hAnsi="Marianne" w:cstheme="minorHAnsi"/>
          <w:b/>
          <w:bCs/>
          <w:i/>
          <w:iCs/>
          <w:sz w:val="20"/>
          <w:szCs w:val="20"/>
        </w:rPr>
      </w:pPr>
      <w:r>
        <w:rPr>
          <w:rFonts w:ascii="Marianne" w:eastAsia="Calibri" w:hAnsi="Marianne" w:cstheme="minorHAnsi"/>
          <w:b/>
          <w:bCs/>
          <w:i/>
          <w:iCs/>
          <w:sz w:val="20"/>
          <w:szCs w:val="20"/>
        </w:rPr>
        <w:t>Sous-Critère 1 : Cohérence des moyens humains et matériels (10 points)</w:t>
      </w:r>
    </w:p>
    <w:p>
      <w:pPr>
        <w:widowControl w:val="0"/>
        <w:spacing w:before="200"/>
        <w:outlineLvl w:val="3"/>
        <w:rPr>
          <w:rFonts w:ascii="Marianne" w:eastAsia="Calibri" w:hAnsi="Marianne" w:cstheme="minorHAnsi"/>
          <w:i/>
          <w:iCs/>
          <w:sz w:val="20"/>
          <w:szCs w:val="20"/>
          <w:lang w:eastAsia="fr-FR"/>
        </w:rPr>
      </w:pPr>
      <w:r>
        <w:rPr>
          <w:rFonts w:ascii="Marianne" w:eastAsia="Calibri" w:hAnsi="Marianne" w:cstheme="minorHAnsi"/>
          <w:i/>
          <w:iCs/>
          <w:sz w:val="20"/>
          <w:szCs w:val="20"/>
          <w:lang w:eastAsia="fr-FR"/>
        </w:rPr>
        <w:t xml:space="preserve">Analyse qualitative portant sur : </w:t>
      </w:r>
    </w:p>
    <w:p>
      <w:pPr>
        <w:pStyle w:val="Paragraphedeliste"/>
        <w:widowControl w:val="0"/>
        <w:numPr>
          <w:ilvl w:val="0"/>
          <w:numId w:val="1"/>
        </w:numPr>
        <w:spacing w:before="200"/>
        <w:outlineLvl w:val="3"/>
        <w:rPr>
          <w:rFonts w:ascii="Marianne" w:hAnsi="Marianne" w:cstheme="minorHAnsi"/>
          <w:i/>
          <w:iCs/>
          <w:sz w:val="20"/>
          <w:szCs w:val="20"/>
          <w:lang w:eastAsia="fr-FR"/>
        </w:rPr>
      </w:pPr>
      <w:r>
        <w:rPr>
          <w:rFonts w:ascii="Marianne" w:hAnsi="Marianne" w:cstheme="minorHAnsi"/>
          <w:i/>
          <w:iCs/>
          <w:sz w:val="20"/>
          <w:szCs w:val="20"/>
          <w:lang w:eastAsia="fr-FR"/>
        </w:rPr>
        <w:t>Cohérence des moyens humains et qualité de l’équipe affecté au chantier par rapport aux travaux à exécuter : organigramme et fonction de chaque acteur. (5 points)</w:t>
      </w:r>
    </w:p>
    <w:p>
      <w:pPr>
        <w:pStyle w:val="Paragraphedeliste"/>
        <w:widowControl w:val="0"/>
        <w:numPr>
          <w:ilvl w:val="0"/>
          <w:numId w:val="1"/>
        </w:numPr>
        <w:spacing w:before="200"/>
        <w:outlineLvl w:val="3"/>
        <w:rPr>
          <w:rFonts w:ascii="Marianne" w:hAnsi="Marianne" w:cstheme="minorHAnsi"/>
          <w:i/>
          <w:iCs/>
          <w:sz w:val="20"/>
          <w:szCs w:val="20"/>
          <w:lang w:eastAsia="fr-FR"/>
        </w:rPr>
      </w:pPr>
      <w:r>
        <w:rPr>
          <w:rFonts w:ascii="Marianne" w:hAnsi="Marianne" w:cstheme="minorHAnsi"/>
          <w:i/>
          <w:iCs/>
          <w:sz w:val="20"/>
          <w:szCs w:val="20"/>
          <w:lang w:eastAsia="fr-FR"/>
        </w:rPr>
        <w:t xml:space="preserve">Matériels prévus (5 points) : </w:t>
      </w:r>
    </w:p>
    <w:p>
      <w:pPr>
        <w:rPr>
          <w:rFonts w:ascii="Marianne" w:eastAsia="Calibri" w:hAnsi="Marianne" w:cstheme="minorHAnsi"/>
        </w:rPr>
      </w:pPr>
      <w:bookmarkStart w:id="0" w:name="_Hlk162624235"/>
      <w:r>
        <w:rPr>
          <w:rFonts w:ascii="Marianne" w:eastAsia="Calibri" w:hAnsi="Marianne" w:cstheme="minorHAnsi"/>
        </w:rPr>
        <w:br w:type="page"/>
      </w:r>
    </w:p>
    <w:p>
      <w:pPr>
        <w:pStyle w:val="NormalWeb"/>
        <w:jc w:val="both"/>
        <w:rPr>
          <w:rFonts w:ascii="Marianne" w:eastAsia="Calibri" w:hAnsi="Marianne" w:cstheme="minorHAnsi"/>
          <w:b/>
          <w:bCs/>
          <w:i/>
          <w:iCs/>
          <w:sz w:val="20"/>
          <w:szCs w:val="20"/>
          <w:lang w:eastAsia="en-US"/>
        </w:rPr>
      </w:pPr>
      <w:r>
        <w:rPr>
          <w:rFonts w:ascii="Marianne" w:eastAsia="Calibri" w:hAnsi="Marianne" w:cstheme="minorHAnsi"/>
          <w:b/>
          <w:bCs/>
          <w:i/>
          <w:iCs/>
          <w:sz w:val="20"/>
          <w:szCs w:val="20"/>
          <w:lang w:eastAsia="en-US"/>
        </w:rPr>
        <w:lastRenderedPageBreak/>
        <w:t>Sous-critère 2 : Délai d’exécution (20 points)</w:t>
      </w:r>
    </w:p>
    <w:p>
      <w:pPr>
        <w:rPr>
          <w:rStyle w:val="lev"/>
          <w:rFonts w:ascii="Marianne" w:eastAsia="Times New Roman" w:hAnsi="Marianne" w:cstheme="minorHAnsi"/>
          <w:b w:val="0"/>
          <w:bCs w:val="0"/>
          <w:sz w:val="18"/>
          <w:szCs w:val="18"/>
          <w:lang w:eastAsia="fr-FR"/>
        </w:rPr>
      </w:pPr>
      <w:r>
        <w:rPr>
          <w:rStyle w:val="lev"/>
          <w:rFonts w:ascii="Marianne" w:eastAsia="Times New Roman" w:hAnsi="Marianne" w:cstheme="minorHAnsi"/>
          <w:b w:val="0"/>
          <w:bCs w:val="0"/>
          <w:sz w:val="18"/>
          <w:szCs w:val="18"/>
          <w:lang w:eastAsia="fr-FR"/>
        </w:rPr>
        <w:t>Le candidat devra préciser le délai proposé dans son acte d’engagement et fournir un planning prévisionnel détaillé.</w:t>
      </w:r>
    </w:p>
    <w:p>
      <w:pPr>
        <w:rPr>
          <w:rStyle w:val="lev"/>
          <w:rFonts w:ascii="Marianne" w:eastAsia="Times New Roman" w:hAnsi="Marianne" w:cstheme="minorHAnsi"/>
          <w:b w:val="0"/>
          <w:bCs w:val="0"/>
          <w:sz w:val="18"/>
          <w:szCs w:val="18"/>
          <w:lang w:eastAsia="fr-FR"/>
        </w:rPr>
      </w:pPr>
      <w:r>
        <w:rPr>
          <w:rStyle w:val="lev"/>
          <w:rFonts w:ascii="Marianne" w:eastAsia="Times New Roman" w:hAnsi="Marianne" w:cstheme="minorHAnsi"/>
          <w:b w:val="0"/>
          <w:bCs w:val="0"/>
          <w:sz w:val="18"/>
          <w:szCs w:val="18"/>
          <w:lang w:eastAsia="fr-FR"/>
        </w:rPr>
        <w:t>L’acheteur se réserve le droit de vérifier la cohérence du délai proposé avec les moyens mis en œuvre et d’écarter une offre dont le délai d’exécution proposé est incohérent.</w:t>
      </w:r>
    </w:p>
    <w:p>
      <w:pPr>
        <w:rPr>
          <w:rStyle w:val="lev"/>
          <w:rFonts w:ascii="Marianne" w:eastAsia="Times New Roman" w:hAnsi="Marianne" w:cstheme="minorHAnsi"/>
          <w:b w:val="0"/>
          <w:bCs w:val="0"/>
          <w:sz w:val="18"/>
          <w:szCs w:val="18"/>
          <w:lang w:eastAsia="fr-FR"/>
        </w:rPr>
      </w:pPr>
      <w:r>
        <w:rPr>
          <w:rStyle w:val="lev"/>
          <w:rFonts w:ascii="Marianne" w:eastAsia="Times New Roman" w:hAnsi="Marianne" w:cstheme="minorHAnsi"/>
          <w:b w:val="0"/>
          <w:bCs w:val="0"/>
          <w:sz w:val="18"/>
          <w:szCs w:val="18"/>
          <w:lang w:eastAsia="fr-FR"/>
        </w:rPr>
        <w:t>L’attention des soumissionnaires est portée sur le fait que l’engagement sur les délais de réalisation figurant à l’article II 6 de l’acte d’engagement est rendu de facto contractuel et sanctionné en cas de retard par les pénalités prévues à l’article 5.1 du CCAP.</w:t>
      </w:r>
    </w:p>
    <w:p>
      <w:pPr>
        <w:rPr>
          <w:rFonts w:ascii="Marianne" w:hAnsi="Marianne" w:cstheme="minorHAnsi"/>
        </w:rPr>
      </w:pPr>
      <w:r>
        <w:rPr>
          <w:rFonts w:ascii="Marianne" w:hAnsi="Marianne" w:cstheme="minorHAnsi"/>
        </w:rPr>
        <w:br w:type="page"/>
      </w:r>
    </w:p>
    <w:p>
      <w:pPr>
        <w:pStyle w:val="NormalWeb"/>
        <w:jc w:val="both"/>
        <w:rPr>
          <w:rFonts w:ascii="Marianne" w:eastAsia="Calibri" w:hAnsi="Marianne" w:cstheme="minorHAnsi"/>
          <w:b/>
          <w:bCs/>
          <w:i/>
          <w:iCs/>
          <w:sz w:val="20"/>
          <w:szCs w:val="20"/>
        </w:rPr>
      </w:pPr>
      <w:r>
        <w:rPr>
          <w:rFonts w:ascii="Marianne" w:eastAsia="Calibri" w:hAnsi="Marianne" w:cstheme="minorHAnsi"/>
          <w:b/>
          <w:bCs/>
          <w:i/>
          <w:iCs/>
          <w:sz w:val="20"/>
          <w:szCs w:val="20"/>
        </w:rPr>
        <w:lastRenderedPageBreak/>
        <w:t>Sous-Critère 3 : Pertinence de la Méthodologie particulière d’interventions (10 points)</w:t>
      </w:r>
    </w:p>
    <w:p>
      <w:pPr>
        <w:pStyle w:val="NormalWeb"/>
        <w:numPr>
          <w:ilvl w:val="0"/>
          <w:numId w:val="3"/>
        </w:numPr>
        <w:jc w:val="both"/>
        <w:rPr>
          <w:rFonts w:ascii="Marianne" w:eastAsia="Calibri" w:hAnsi="Marianne" w:cstheme="minorHAnsi"/>
          <w:i/>
          <w:iCs/>
          <w:sz w:val="20"/>
          <w:szCs w:val="20"/>
        </w:rPr>
      </w:pPr>
      <w:r>
        <w:rPr>
          <w:rFonts w:ascii="Marianne" w:eastAsia="Calibri" w:hAnsi="Marianne" w:cstheme="minorHAnsi"/>
          <w:i/>
          <w:iCs/>
          <w:sz w:val="20"/>
          <w:szCs w:val="20"/>
        </w:rPr>
        <w:t>Méthodologie d’intervention et organisation du chantier (5 points)</w:t>
      </w:r>
    </w:p>
    <w:p>
      <w:pPr>
        <w:pStyle w:val="NormalWeb"/>
        <w:jc w:val="both"/>
        <w:rPr>
          <w:rFonts w:ascii="Marianne" w:eastAsia="Calibri" w:hAnsi="Marianne" w:cstheme="minorHAnsi"/>
          <w:i/>
          <w:iCs/>
          <w:sz w:val="20"/>
          <w:szCs w:val="20"/>
        </w:rPr>
      </w:pPr>
      <w:r>
        <w:rPr>
          <w:rFonts w:ascii="Marianne" w:eastAsia="Calibri" w:hAnsi="Marianne" w:cstheme="minorHAnsi"/>
          <w:i/>
          <w:iCs/>
          <w:sz w:val="20"/>
          <w:szCs w:val="20"/>
        </w:rPr>
        <w:t>Description de l’organisation générale du chantier -Description précise du type d’installation prévue en base vie ; détails sur chaque type d’intervention, -rédaction du plan de retrait, mise en sécurité, démolition et désamiantage, traitement des déchets, analyses et repli du chantier -Description de la méthodologie de désamiantage et déplombage employée.- Gestion et protection des avoisinants et reprises</w:t>
      </w:r>
    </w:p>
    <w:p>
      <w:pPr>
        <w:pStyle w:val="NormalWeb"/>
        <w:numPr>
          <w:ilvl w:val="0"/>
          <w:numId w:val="3"/>
        </w:numPr>
        <w:jc w:val="both"/>
        <w:rPr>
          <w:rFonts w:ascii="Marianne" w:eastAsia="Calibri" w:hAnsi="Marianne" w:cstheme="minorHAnsi"/>
          <w:i/>
          <w:iCs/>
          <w:sz w:val="20"/>
          <w:szCs w:val="20"/>
        </w:rPr>
      </w:pPr>
      <w:r>
        <w:rPr>
          <w:rFonts w:ascii="Marianne" w:eastAsia="Calibri" w:hAnsi="Marianne" w:cstheme="minorHAnsi"/>
          <w:i/>
          <w:iCs/>
          <w:sz w:val="20"/>
          <w:szCs w:val="20"/>
        </w:rPr>
        <w:t>Nuisances et environnement du chantier (5 points)</w:t>
      </w:r>
    </w:p>
    <w:p>
      <w:pPr>
        <w:pStyle w:val="NormalWeb"/>
        <w:jc w:val="both"/>
        <w:rPr>
          <w:rFonts w:ascii="Marianne" w:eastAsia="Calibri" w:hAnsi="Marianne" w:cstheme="minorHAnsi"/>
          <w:i/>
          <w:iCs/>
          <w:sz w:val="20"/>
          <w:szCs w:val="20"/>
        </w:rPr>
      </w:pPr>
      <w:r>
        <w:rPr>
          <w:rFonts w:ascii="Marianne" w:eastAsia="Calibri" w:hAnsi="Marianne" w:cstheme="minorHAnsi"/>
          <w:i/>
          <w:iCs/>
          <w:sz w:val="20"/>
          <w:szCs w:val="20"/>
        </w:rPr>
        <w:t xml:space="preserve">description des accès de chantier et des installations de chantier,-description des moyens mis en œuvre pour garantir l’hygiène sur le chantier,-description des moyens mis en œuvre, par phase de travaux, pour garantir la sécurité des opérateurs et des riverains. Limitation des nuisances sonores, vibratoires, visuelles, olfactives et pollution ; en prenant en compte les constructions avoisinantes </w:t>
      </w:r>
    </w:p>
    <w:p>
      <w:pPr>
        <w:rPr>
          <w:rFonts w:ascii="Marianne" w:eastAsia="Calibri" w:hAnsi="Marianne" w:cstheme="minorHAnsi"/>
          <w:b/>
          <w:bCs/>
          <w:i/>
          <w:iCs/>
          <w:sz w:val="20"/>
          <w:szCs w:val="20"/>
        </w:rPr>
      </w:pPr>
      <w:r>
        <w:rPr>
          <w:rFonts w:ascii="Marianne" w:eastAsia="Calibri" w:hAnsi="Marianne" w:cstheme="minorHAnsi"/>
          <w:b/>
          <w:bCs/>
          <w:i/>
          <w:iCs/>
          <w:sz w:val="20"/>
          <w:szCs w:val="20"/>
        </w:rPr>
        <w:br w:type="page"/>
      </w:r>
    </w:p>
    <w:bookmarkEnd w:id="0"/>
    <w:p>
      <w:pPr>
        <w:spacing w:after="200" w:line="276" w:lineRule="auto"/>
        <w:ind w:right="-568"/>
        <w:rPr>
          <w:rFonts w:ascii="Marianne" w:hAnsi="Marianne" w:cstheme="minorHAnsi"/>
          <w:b/>
          <w:bCs/>
          <w:u w:val="single"/>
        </w:rPr>
      </w:pPr>
      <w:r>
        <w:rPr>
          <w:rFonts w:ascii="Marianne" w:hAnsi="Marianne" w:cstheme="minorHAnsi"/>
          <w:b/>
          <w:bCs/>
          <w:u w:val="single"/>
        </w:rPr>
        <w:lastRenderedPageBreak/>
        <w:t>2.Dimension environnementale (10 points)</w:t>
      </w:r>
    </w:p>
    <w:p>
      <w:pPr>
        <w:jc w:val="both"/>
        <w:rPr>
          <w:rFonts w:ascii="Marianne" w:eastAsia="Calibri" w:hAnsi="Marianne" w:cstheme="minorHAnsi"/>
          <w:i/>
          <w:iCs/>
          <w:sz w:val="20"/>
          <w:szCs w:val="20"/>
        </w:rPr>
      </w:pPr>
      <w:r>
        <w:rPr>
          <w:rFonts w:ascii="Marianne" w:eastAsia="Calibri" w:hAnsi="Marianne" w:cstheme="minorHAnsi"/>
          <w:i/>
          <w:iCs/>
          <w:sz w:val="20"/>
          <w:szCs w:val="20"/>
        </w:rPr>
        <w:t xml:space="preserve">Seront évalués dans cet item les engagements du candidat en matière de protection de l’environnement. </w:t>
      </w:r>
    </w:p>
    <w:p>
      <w:pPr>
        <w:jc w:val="both"/>
        <w:rPr>
          <w:rFonts w:ascii="Marianne" w:eastAsia="Calibri" w:hAnsi="Marianne" w:cstheme="minorHAnsi"/>
          <w:i/>
          <w:iCs/>
          <w:sz w:val="20"/>
          <w:szCs w:val="20"/>
        </w:rPr>
      </w:pPr>
      <w:r>
        <w:rPr>
          <w:rFonts w:ascii="Marianne" w:eastAsia="Calibri" w:hAnsi="Marianne" w:cstheme="minorHAnsi"/>
          <w:i/>
          <w:iCs/>
          <w:sz w:val="20"/>
          <w:szCs w:val="20"/>
        </w:rPr>
        <w:t>Il sera apprécié au regard de la note environnementale fournie par le candidat décrivant les moyens mis en œuvre pour maitriser les impacts sur l’environnement pendant toute la durée du chantier ci-dessous. Les thématiques suivantes seront évaluées :</w:t>
      </w:r>
    </w:p>
    <w:p>
      <w:pPr>
        <w:jc w:val="both"/>
        <w:rPr>
          <w:rFonts w:ascii="Marianne" w:eastAsia="Calibri" w:hAnsi="Marianne" w:cstheme="minorHAnsi"/>
          <w:i/>
          <w:iCs/>
          <w:sz w:val="20"/>
          <w:szCs w:val="20"/>
        </w:rPr>
      </w:pPr>
      <w:r>
        <w:rPr>
          <w:rFonts w:ascii="Marianne" w:eastAsia="Calibri" w:hAnsi="Marianne" w:cstheme="minorHAnsi"/>
          <w:i/>
          <w:iCs/>
          <w:sz w:val="20"/>
          <w:szCs w:val="20"/>
        </w:rPr>
        <w:t>-</w:t>
      </w:r>
      <w:r>
        <w:rPr>
          <w:rFonts w:ascii="Marianne" w:eastAsia="Calibri" w:hAnsi="Marianne" w:cstheme="minorHAnsi"/>
          <w:i/>
          <w:iCs/>
          <w:sz w:val="20"/>
          <w:szCs w:val="20"/>
        </w:rPr>
        <w:tab/>
        <w:t xml:space="preserve">-Suivi et traçabilité des déchets issus de la démolition hors amiante et des déchets amiantés : tri, circuit, délais d’évacuation et mode de traitement. </w:t>
      </w:r>
    </w:p>
    <w:p>
      <w:pPr>
        <w:jc w:val="both"/>
        <w:rPr>
          <w:rFonts w:ascii="Marianne" w:eastAsia="Calibri" w:hAnsi="Marianne" w:cstheme="minorHAnsi"/>
          <w:i/>
          <w:iCs/>
          <w:sz w:val="20"/>
          <w:szCs w:val="20"/>
        </w:rPr>
      </w:pPr>
      <w:r>
        <w:rPr>
          <w:rFonts w:ascii="Marianne" w:eastAsia="Calibri" w:hAnsi="Marianne" w:cstheme="minorHAnsi"/>
          <w:i/>
          <w:iCs/>
          <w:sz w:val="20"/>
          <w:szCs w:val="20"/>
        </w:rPr>
        <w:t>-</w:t>
      </w:r>
      <w:r>
        <w:rPr>
          <w:rFonts w:ascii="Marianne" w:eastAsia="Calibri" w:hAnsi="Marianne" w:cstheme="minorHAnsi"/>
          <w:i/>
          <w:iCs/>
          <w:sz w:val="20"/>
          <w:szCs w:val="20"/>
        </w:rPr>
        <w:tab/>
        <w:t>Transport et logistique (flotte, mutualisation des livraisons, choix des itinéraires)</w:t>
      </w:r>
    </w:p>
    <w:p>
      <w:pPr>
        <w:rPr>
          <w:rStyle w:val="lev"/>
          <w:rFonts w:ascii="Marianne" w:eastAsia="Calibri" w:hAnsi="Marianne" w:cstheme="minorHAnsi"/>
          <w:b w:val="0"/>
          <w:bCs w:val="0"/>
          <w:i/>
          <w:iCs/>
          <w:sz w:val="20"/>
          <w:szCs w:val="20"/>
          <w:highlight w:val="yellow"/>
        </w:rPr>
      </w:pPr>
    </w:p>
    <w:sectPr>
      <w:headerReference w:type="default" r:id="rId8"/>
      <w:headerReference w:type="first" r:id="rId9"/>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keepLines/>
      <w:tabs>
        <w:tab w:val="center" w:pos="4536"/>
        <w:tab w:val="right" w:pos="9072"/>
      </w:tabs>
      <w:spacing w:after="240" w:line="240" w:lineRule="exact"/>
      <w:ind w:left="-708" w:right="675" w:hanging="709"/>
      <w:jc w:val="center"/>
      <w:rPr>
        <w:rFonts w:ascii="Arial" w:eastAsia="Times New Roman" w:hAnsi="Arial" w:cs="Arial"/>
        <w:b/>
        <w:vertAlign w:val="subscript"/>
        <w:lang w:eastAsia="fr-FR"/>
      </w:rPr>
    </w:pPr>
    <w:r>
      <w:rPr>
        <w:rFonts w:ascii="Helv" w:eastAsia="Times New Roman" w:hAnsi="Helv" w:cs="Times New Roman"/>
        <w:noProof/>
        <w:sz w:val="20"/>
        <w:szCs w:val="20"/>
        <w:lang w:eastAsia="fr-FR"/>
      </w:rPr>
      <w:drawing>
        <wp:anchor distT="0" distB="0" distL="114300" distR="114300" simplePos="0" relativeHeight="251661312" behindDoc="1" locked="0" layoutInCell="1" allowOverlap="1">
          <wp:simplePos x="0" y="0"/>
          <wp:positionH relativeFrom="column">
            <wp:posOffset>0</wp:posOffset>
          </wp:positionH>
          <wp:positionV relativeFrom="paragraph">
            <wp:posOffset>-635</wp:posOffset>
          </wp:positionV>
          <wp:extent cx="1313815" cy="1097280"/>
          <wp:effectExtent l="0" t="0" r="635" b="762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815"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keepLines/>
      <w:suppressAutoHyphens/>
      <w:spacing w:after="240" w:line="240" w:lineRule="exact"/>
      <w:ind w:left="708" w:right="675"/>
      <w:jc w:val="right"/>
      <w:rPr>
        <w:rFonts w:ascii="Marianne" w:eastAsia="Times New Roman" w:hAnsi="Marianne" w:cs="Arial"/>
        <w:b/>
        <w:sz w:val="24"/>
        <w:szCs w:val="20"/>
        <w:lang w:eastAsia="fr-FR"/>
      </w:rPr>
    </w:pPr>
    <w:r>
      <w:rPr>
        <w:rFonts w:ascii="Marianne" w:eastAsia="Times New Roman" w:hAnsi="Marianne" w:cs="Arial"/>
        <w:b/>
        <w:sz w:val="24"/>
        <w:szCs w:val="20"/>
        <w:lang w:eastAsia="fr-FR"/>
      </w:rPr>
      <w:t>Secrétariat</w:t>
    </w:r>
  </w:p>
  <w:p>
    <w:pPr>
      <w:keepLines/>
      <w:suppressAutoHyphens/>
      <w:spacing w:after="240" w:line="240" w:lineRule="exact"/>
      <w:ind w:left="708" w:right="675"/>
      <w:jc w:val="right"/>
      <w:rPr>
        <w:rFonts w:ascii="Marianne" w:eastAsia="Times New Roman" w:hAnsi="Marianne" w:cs="Arial"/>
        <w:b/>
        <w:sz w:val="24"/>
        <w:szCs w:val="20"/>
        <w:lang w:eastAsia="fr-FR"/>
      </w:rPr>
    </w:pPr>
    <w:r>
      <w:rPr>
        <w:rFonts w:ascii="Marianne" w:eastAsia="Times New Roman" w:hAnsi="Marianne" w:cs="Arial"/>
        <w:b/>
        <w:sz w:val="24"/>
        <w:szCs w:val="20"/>
        <w:lang w:eastAsia="fr-FR"/>
      </w:rPr>
      <w:t>général</w:t>
    </w:r>
  </w:p>
  <w:p>
    <w:pPr>
      <w:tabs>
        <w:tab w:val="left" w:pos="3960"/>
      </w:tabs>
      <w:spacing w:after="0" w:line="240" w:lineRule="auto"/>
      <w:rPr>
        <w:rFonts w:ascii="Calibri" w:eastAsia="Calibri" w:hAnsi="Calibri" w:cs="Times New Roman"/>
      </w:rPr>
    </w:pPr>
    <w:r>
      <w:rPr>
        <w:rFonts w:ascii="Calibri" w:eastAsia="Calibri" w:hAnsi="Calibri" w:cs="Times New Roman"/>
      </w:rPr>
      <w:tab/>
    </w:r>
  </w:p>
  <w:p>
    <w:pPr>
      <w:tabs>
        <w:tab w:val="center" w:pos="4536"/>
        <w:tab w:val="right" w:pos="9072"/>
      </w:tabs>
      <w:spacing w:after="0" w:line="240" w:lineRule="auto"/>
      <w:rPr>
        <w:rFonts w:ascii="Calibri" w:eastAsia="Calibri" w:hAnsi="Calibri" w:cs="Times New Roman"/>
      </w:rPr>
    </w:pPr>
  </w:p>
  <w:p>
    <w:pPr>
      <w:tabs>
        <w:tab w:val="center" w:pos="4536"/>
        <w:tab w:val="right" w:pos="9072"/>
      </w:tabs>
      <w:spacing w:after="0" w:line="240" w:lineRule="auto"/>
      <w:jc w:val="right"/>
      <w:rPr>
        <w:rFonts w:ascii="Arial" w:eastAsia="Times New Roman" w:hAnsi="Arial" w:cs="Arial"/>
        <w:b/>
        <w:vertAlign w:val="subscript"/>
        <w:lang w:eastAsia="fr-FR"/>
      </w:rPr>
    </w:pPr>
  </w:p>
  <w:p>
    <w:pPr>
      <w:tabs>
        <w:tab w:val="center" w:pos="4536"/>
        <w:tab w:val="right" w:pos="7189"/>
      </w:tabs>
      <w:spacing w:after="0" w:line="240" w:lineRule="auto"/>
      <w:jc w:val="center"/>
      <w:rPr>
        <w:rFonts w:ascii="Arial" w:eastAsia="Times New Roman" w:hAnsi="Arial" w:cs="Arial"/>
        <w:b/>
        <w:vertAlign w:val="subscript"/>
        <w:lang w:eastAsia="fr-FR"/>
      </w:rPr>
    </w:pPr>
  </w:p>
  <w:p>
    <w:pPr>
      <w:tabs>
        <w:tab w:val="center" w:pos="4536"/>
        <w:tab w:val="right" w:pos="7189"/>
      </w:tabs>
      <w:spacing w:after="0" w:line="240" w:lineRule="auto"/>
      <w:jc w:val="center"/>
      <w:rPr>
        <w:rFonts w:ascii="Marianne" w:eastAsia="Times New Roman" w:hAnsi="Marianne" w:cs="Arial"/>
        <w:b/>
        <w:sz w:val="24"/>
        <w:szCs w:val="24"/>
        <w:vertAlign w:val="subscript"/>
        <w:lang w:eastAsia="fr-FR"/>
      </w:rPr>
    </w:pPr>
    <w:r>
      <w:rPr>
        <w:rFonts w:ascii="Marianne" w:eastAsia="Times New Roman" w:hAnsi="Marianne" w:cs="Arial"/>
        <w:b/>
        <w:sz w:val="24"/>
        <w:szCs w:val="24"/>
        <w:vertAlign w:val="subscript"/>
        <w:lang w:eastAsia="fr-FR"/>
      </w:rPr>
      <w:t>Service de l’immobilier et de l’environnement professionnel</w:t>
    </w:r>
  </w:p>
  <w:p>
    <w:pPr>
      <w:tabs>
        <w:tab w:val="center" w:pos="4536"/>
        <w:tab w:val="right" w:pos="9072"/>
      </w:tabs>
      <w:spacing w:after="0" w:line="240" w:lineRule="auto"/>
      <w:jc w:val="center"/>
      <w:rPr>
        <w:rFonts w:ascii="Marianne" w:eastAsia="Times New Roman" w:hAnsi="Marianne" w:cs="Arial"/>
        <w:b/>
        <w:sz w:val="24"/>
        <w:szCs w:val="24"/>
        <w:vertAlign w:val="subscript"/>
        <w:lang w:eastAsia="fr-FR"/>
      </w:rPr>
    </w:pPr>
    <w:r>
      <w:rPr>
        <w:rFonts w:ascii="Marianne" w:eastAsia="Times New Roman" w:hAnsi="Marianne" w:cs="Arial"/>
        <w:b/>
        <w:sz w:val="24"/>
        <w:szCs w:val="24"/>
        <w:vertAlign w:val="subscript"/>
        <w:lang w:eastAsia="fr-FR"/>
      </w:rPr>
      <w:t>Sous-direction de l'immobilier</w:t>
    </w:r>
  </w:p>
  <w:p>
    <w:pPr>
      <w:tabs>
        <w:tab w:val="center" w:pos="4536"/>
        <w:tab w:val="right" w:pos="9072"/>
      </w:tabs>
      <w:spacing w:after="0" w:line="240" w:lineRule="auto"/>
      <w:jc w:val="center"/>
      <w:rPr>
        <w:rFonts w:ascii="Marianne" w:eastAsia="Times New Roman" w:hAnsi="Marianne" w:cs="Times New Roman"/>
        <w:b/>
        <w:sz w:val="24"/>
        <w:szCs w:val="24"/>
        <w:lang w:eastAsia="fr-FR"/>
      </w:rPr>
    </w:pPr>
    <w:r>
      <w:rPr>
        <w:rFonts w:ascii="Marianne" w:eastAsia="Times New Roman" w:hAnsi="Marianne" w:cs="Arial"/>
        <w:b/>
        <w:sz w:val="24"/>
        <w:szCs w:val="24"/>
        <w:vertAlign w:val="subscript"/>
        <w:lang w:eastAsia="fr-FR"/>
      </w:rPr>
      <w:t>Bureau Immobilier et maîtrise d’ouvrage</w:t>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6F87"/>
    <w:multiLevelType w:val="hybridMultilevel"/>
    <w:tmpl w:val="B5144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B5922F1"/>
    <w:multiLevelType w:val="hybridMultilevel"/>
    <w:tmpl w:val="B618559A"/>
    <w:lvl w:ilvl="0" w:tplc="139499CA">
      <w:start w:val="16"/>
      <w:numFmt w:val="bullet"/>
      <w:lvlText w:val="-"/>
      <w:lvlJc w:val="left"/>
      <w:pPr>
        <w:ind w:left="1287" w:hanging="360"/>
      </w:pPr>
      <w:rPr>
        <w:rFonts w:ascii="Garamond" w:eastAsia="Times New Roman" w:hAnsi="Garamond"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5045D97"/>
    <w:multiLevelType w:val="hybridMultilevel"/>
    <w:tmpl w:val="76E6D800"/>
    <w:lvl w:ilvl="0" w:tplc="139499CA">
      <w:start w:val="16"/>
      <w:numFmt w:val="bullet"/>
      <w:lvlText w:val="-"/>
      <w:lvlJc w:val="left"/>
      <w:pPr>
        <w:ind w:left="1287" w:hanging="360"/>
      </w:pPr>
      <w:rPr>
        <w:rFonts w:ascii="Garamond" w:eastAsia="Times New Roman" w:hAnsi="Garamond" w:cs="Times New Roman" w:hint="default"/>
        <w:b/>
      </w:rPr>
    </w:lvl>
    <w:lvl w:ilvl="1" w:tplc="6784D47A">
      <w:start w:val="1"/>
      <w:numFmt w:val="bullet"/>
      <w:lvlText w:val="o"/>
      <w:lvlJc w:val="left"/>
      <w:pPr>
        <w:ind w:left="2007" w:hanging="360"/>
      </w:pPr>
      <w:rPr>
        <w:rFonts w:ascii="Courier New" w:hAnsi="Courier New" w:cs="Courier New" w:hint="default"/>
      </w:rPr>
    </w:lvl>
    <w:lvl w:ilvl="2" w:tplc="CDDE3EEE">
      <w:start w:val="1"/>
      <w:numFmt w:val="bullet"/>
      <w:lvlText w:val=""/>
      <w:lvlJc w:val="left"/>
      <w:pPr>
        <w:ind w:left="2727" w:hanging="360"/>
      </w:pPr>
      <w:rPr>
        <w:rFonts w:ascii="Wingdings" w:hAnsi="Wingdings" w:hint="default"/>
      </w:rPr>
    </w:lvl>
    <w:lvl w:ilvl="3" w:tplc="BBB253C8">
      <w:start w:val="1"/>
      <w:numFmt w:val="bullet"/>
      <w:lvlText w:val=""/>
      <w:lvlJc w:val="left"/>
      <w:pPr>
        <w:ind w:left="3447" w:hanging="360"/>
      </w:pPr>
      <w:rPr>
        <w:rFonts w:ascii="Symbol" w:hAnsi="Symbol" w:hint="default"/>
      </w:rPr>
    </w:lvl>
    <w:lvl w:ilvl="4" w:tplc="73D65596">
      <w:start w:val="1"/>
      <w:numFmt w:val="bullet"/>
      <w:lvlText w:val="o"/>
      <w:lvlJc w:val="left"/>
      <w:pPr>
        <w:ind w:left="4167" w:hanging="360"/>
      </w:pPr>
      <w:rPr>
        <w:rFonts w:ascii="Courier New" w:hAnsi="Courier New" w:cs="Courier New" w:hint="default"/>
      </w:rPr>
    </w:lvl>
    <w:lvl w:ilvl="5" w:tplc="BCE42018">
      <w:start w:val="1"/>
      <w:numFmt w:val="bullet"/>
      <w:lvlText w:val=""/>
      <w:lvlJc w:val="left"/>
      <w:pPr>
        <w:ind w:left="4887" w:hanging="360"/>
      </w:pPr>
      <w:rPr>
        <w:rFonts w:ascii="Wingdings" w:hAnsi="Wingdings" w:hint="default"/>
      </w:rPr>
    </w:lvl>
    <w:lvl w:ilvl="6" w:tplc="B63E1A12">
      <w:start w:val="1"/>
      <w:numFmt w:val="bullet"/>
      <w:lvlText w:val=""/>
      <w:lvlJc w:val="left"/>
      <w:pPr>
        <w:ind w:left="5607" w:hanging="360"/>
      </w:pPr>
      <w:rPr>
        <w:rFonts w:ascii="Symbol" w:hAnsi="Symbol" w:hint="default"/>
      </w:rPr>
    </w:lvl>
    <w:lvl w:ilvl="7" w:tplc="A094C41E">
      <w:start w:val="1"/>
      <w:numFmt w:val="bullet"/>
      <w:lvlText w:val="o"/>
      <w:lvlJc w:val="left"/>
      <w:pPr>
        <w:ind w:left="6327" w:hanging="360"/>
      </w:pPr>
      <w:rPr>
        <w:rFonts w:ascii="Courier New" w:hAnsi="Courier New" w:cs="Courier New" w:hint="default"/>
      </w:rPr>
    </w:lvl>
    <w:lvl w:ilvl="8" w:tplc="30882798">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FC7D33D5-51FD-4FD6-BBF2-5BFD05263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line="256" w:lineRule="auto"/>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Pr>
      <w:b/>
      <w:bCs/>
    </w:rPr>
  </w:style>
  <w:style w:type="paragraph" w:styleId="Paragraphedeliste">
    <w:name w:val="List Paragraph"/>
    <w:basedOn w:val="Normal"/>
    <w:uiPriority w:val="1"/>
    <w:qFormat/>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46814">
      <w:bodyDiv w:val="1"/>
      <w:marLeft w:val="0"/>
      <w:marRight w:val="0"/>
      <w:marTop w:val="0"/>
      <w:marBottom w:val="0"/>
      <w:divBdr>
        <w:top w:val="none" w:sz="0" w:space="0" w:color="auto"/>
        <w:left w:val="none" w:sz="0" w:space="0" w:color="auto"/>
        <w:bottom w:val="none" w:sz="0" w:space="0" w:color="auto"/>
        <w:right w:val="none" w:sz="0" w:space="0" w:color="auto"/>
      </w:divBdr>
    </w:div>
    <w:div w:id="701826014">
      <w:bodyDiv w:val="1"/>
      <w:marLeft w:val="0"/>
      <w:marRight w:val="0"/>
      <w:marTop w:val="0"/>
      <w:marBottom w:val="0"/>
      <w:divBdr>
        <w:top w:val="none" w:sz="0" w:space="0" w:color="auto"/>
        <w:left w:val="none" w:sz="0" w:space="0" w:color="auto"/>
        <w:bottom w:val="none" w:sz="0" w:space="0" w:color="auto"/>
        <w:right w:val="none" w:sz="0" w:space="0" w:color="auto"/>
      </w:divBdr>
    </w:div>
    <w:div w:id="1479498644">
      <w:bodyDiv w:val="1"/>
      <w:marLeft w:val="0"/>
      <w:marRight w:val="0"/>
      <w:marTop w:val="0"/>
      <w:marBottom w:val="0"/>
      <w:divBdr>
        <w:top w:val="none" w:sz="0" w:space="0" w:color="auto"/>
        <w:left w:val="none" w:sz="0" w:space="0" w:color="auto"/>
        <w:bottom w:val="none" w:sz="0" w:space="0" w:color="auto"/>
        <w:right w:val="none" w:sz="0" w:space="0" w:color="auto"/>
      </w:divBdr>
    </w:div>
    <w:div w:id="1492793848">
      <w:bodyDiv w:val="1"/>
      <w:marLeft w:val="0"/>
      <w:marRight w:val="0"/>
      <w:marTop w:val="0"/>
      <w:marBottom w:val="0"/>
      <w:divBdr>
        <w:top w:val="none" w:sz="0" w:space="0" w:color="auto"/>
        <w:left w:val="none" w:sz="0" w:space="0" w:color="auto"/>
        <w:bottom w:val="none" w:sz="0" w:space="0" w:color="auto"/>
        <w:right w:val="none" w:sz="0" w:space="0" w:color="auto"/>
      </w:divBdr>
    </w:div>
    <w:div w:id="1823963115">
      <w:bodyDiv w:val="1"/>
      <w:marLeft w:val="0"/>
      <w:marRight w:val="0"/>
      <w:marTop w:val="0"/>
      <w:marBottom w:val="0"/>
      <w:divBdr>
        <w:top w:val="none" w:sz="0" w:space="0" w:color="auto"/>
        <w:left w:val="none" w:sz="0" w:space="0" w:color="auto"/>
        <w:bottom w:val="none" w:sz="0" w:space="0" w:color="auto"/>
        <w:right w:val="none" w:sz="0" w:space="0" w:color="auto"/>
      </w:divBdr>
    </w:div>
    <w:div w:id="1853454667">
      <w:bodyDiv w:val="1"/>
      <w:marLeft w:val="0"/>
      <w:marRight w:val="0"/>
      <w:marTop w:val="0"/>
      <w:marBottom w:val="0"/>
      <w:divBdr>
        <w:top w:val="none" w:sz="0" w:space="0" w:color="auto"/>
        <w:left w:val="none" w:sz="0" w:space="0" w:color="auto"/>
        <w:bottom w:val="none" w:sz="0" w:space="0" w:color="auto"/>
        <w:right w:val="none" w:sz="0" w:space="0" w:color="auto"/>
      </w:divBdr>
    </w:div>
    <w:div w:id="1894728699">
      <w:bodyDiv w:val="1"/>
      <w:marLeft w:val="0"/>
      <w:marRight w:val="0"/>
      <w:marTop w:val="0"/>
      <w:marBottom w:val="0"/>
      <w:divBdr>
        <w:top w:val="none" w:sz="0" w:space="0" w:color="auto"/>
        <w:left w:val="none" w:sz="0" w:space="0" w:color="auto"/>
        <w:bottom w:val="none" w:sz="0" w:space="0" w:color="auto"/>
        <w:right w:val="none" w:sz="0" w:space="0" w:color="auto"/>
      </w:divBdr>
    </w:div>
    <w:div w:id="213852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AB673-751A-4EA2-BC54-56DE2A39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634</Words>
  <Characters>3488</Characters>
  <Application>Microsoft Office Word</Application>
  <DocSecurity>4</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DUPONT Khaoula</dc:creator>
  <cp:keywords/>
  <dc:description/>
  <cp:lastModifiedBy>SCHLUMBERGER Claire</cp:lastModifiedBy>
  <cp:revision>2</cp:revision>
  <dcterms:created xsi:type="dcterms:W3CDTF">2026-07-09T07:47:00Z</dcterms:created>
  <dcterms:modified xsi:type="dcterms:W3CDTF">2026-07-09T07:47:00Z</dcterms:modified>
</cp:coreProperties>
</file>