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C1814E" w14:textId="0791C171" w:rsidR="002F19C2" w:rsidRDefault="00317734">
      <w:pPr>
        <w:spacing w:after="40"/>
      </w:pPr>
      <w:r>
        <w:rPr>
          <w:b/>
          <w:bCs/>
          <w:color w:val="2B0A3D"/>
        </w:rPr>
        <w:t xml:space="preserve">LA FÉMIS</w:t>
      </w:r>
      <w:r>
        <w:rPr>
          <w:color w:val="666666"/>
          <w:sz w:val="18"/>
          <w:szCs w:val="18"/>
        </w:rPr>
        <w:t xml:space="preserve">. RÈGLEMENT DE LA CONSULTATION (RC)</w:t>
      </w:r>
    </w:p>
    <w:p w14:paraId="4EC1814F" w14:textId="77777777" w:rsidR="002F19C2" w:rsidRDefault="00317734">
      <w:pPr>
        <w:spacing w:after="50"/>
      </w:pPr>
      <w:r>
        <w:rPr>
          <w:b/>
          <w:bCs/>
          <w:color w:val="2B0A3D"/>
          <w:sz w:val="29"/>
          <w:szCs w:val="29"/>
        </w:rPr>
        <w:t xml:space="preserve">Règlement de la Consultation</w:t>
      </w:r>
    </w:p>
    <w:p w14:paraId="4EC18150" w14:textId="1448F0EE" w:rsidR="002F19C2" w:rsidRDefault="00317734">
      <w:pPr>
        <w:spacing w:after="60"/>
      </w:pPr>
      <w:r>
        <w:rPr>
          <w:color w:val="666666"/>
        </w:rPr>
        <w:t xml:space="preserve">Marché n° M2026-11 : Accompagnement du projet Gouvernance des données et trajectoire SI. Marché public de prestations intellectuelles à prix global et forfaitaire.</w:t>
      </w:r>
    </w:p>
    <w:p w14:paraId="4EC18151" w14:textId="3127C32A" w:rsidR="002F19C2" w:rsidRDefault="00317734">
      <w:pPr>
        <w:spacing w:after="140"/>
      </w:pPr>
      <w:r>
        <w:rPr>
          <w:i/>
          <w:color w:val="666666"/>
          <w:sz w:val="18"/>
        </w:rPr>
        <w:t xml:space="preserve">Procédure adaptée ouverte avec possibilité de négociation : articles L2123-1, R2123-1 1° et R2123-5 du Code de la commande publique.</w:t>
      </w:r>
    </w:p>
    <w:p w14:paraId="4EC18152" w14:textId="77777777" w:rsidR="002F19C2" w:rsidRDefault="00317734">
      <w:pPr>
        <w:pBdr>
          <w:bottom w:val="single" w:sz="8" w:space="4" w:color="C8871E"/>
        </w:pBdr>
        <w:spacing w:before="260" w:after="100"/>
      </w:pPr>
      <w:r>
        <w:rPr>
          <w:b/>
          <w:bCs/>
          <w:color w:val="2B0A3D"/>
          <w:sz w:val="24"/>
          <w:szCs w:val="24"/>
        </w:rPr>
        <w:t xml:space="preserve">1. Identification de l'acheteur et objet</w:t>
      </w:r>
    </w:p>
    <w:p w14:paraId="4EC18153" w14:textId="3595A6EF" w:rsidR="002F19C2" w:rsidRDefault="00317734" w:rsidP="003D33C0">
      <w:pPr>
        <w:pStyle w:val="Paragraphedeliste"/>
        <w:numPr>
          <w:ilvl w:val="0"/>
          <w:numId w:val="1"/>
        </w:numPr>
        <w:spacing w:after="42"/>
        <w:jc w:val="both"/>
      </w:pPr>
      <w:r>
        <w:rPr>
          <w:sz w:val="19"/>
          <w:szCs w:val="19"/>
        </w:rPr>
        <w:t xml:space="preserve">Acheteur : École nationale supérieure des métiers de l'image et du son, La Fémis, établissement public à caractère industriel et commercial placé sous la tutelle du ministère de la Culture, 6 rue Francoeur, 75018 Paris (SIRET 421 506 445 00012), représentée par son directeur général.</w:t>
      </w:r>
    </w:p>
    <w:p w14:paraId="4EC18153" w14:textId="3595A6EF" w:rsidR="002F19C2" w:rsidRDefault="00317734" w:rsidP="003D33C0">
      <w:pPr>
        <w:pStyle w:val="Paragraphedeliste"/>
        <w:numPr>
          <w:ilvl w:val="0"/>
          <w:numId w:val="1"/>
        </w:numPr>
        <w:spacing w:after="42"/>
        <w:jc w:val="both"/>
      </w:pPr>
      <w:r>
        <w:rPr>
          <w:sz w:val="19"/>
          <w:szCs w:val="19"/>
        </w:rPr>
        <w:t xml:space="preserve">Objet : accompagnement du projet Gouvernance des données et trajectoire SI de l'École, comprenant un inventaire des chaînes de valeur de l'École et l'étude détaillée des processus retenus comme prioritaires, un schéma directeur des données et des outils (volet données et conformité, volet urbanisation et outils appuyé sur des benchmarks ciblés, c'est-à-dire des comparaisons de solutions du marché pour les briques identifiées), une feuille de route opérationnelle priorisée à deux ou trois ans, l'identification et l'amorçage de gains rapides, ainsi qu'un volet de communication interne. Le détail des prestations et des livrables figure au CCP.</w:t>
      </w:r>
    </w:p>
    <w:p w14:paraId="4EC18153" w14:textId="3595A6EF" w:rsidR="002F19C2" w:rsidRDefault="00317734" w:rsidP="003D33C0">
      <w:pPr>
        <w:pStyle w:val="Paragraphedeliste"/>
        <w:numPr>
          <w:ilvl w:val="0"/>
          <w:numId w:val="1"/>
        </w:numPr>
        <w:spacing w:after="42"/>
        <w:jc w:val="both"/>
      </w:pPr>
      <w:r>
        <w:rPr>
          <w:sz w:val="19"/>
          <w:szCs w:val="19"/>
        </w:rPr>
        <w:t xml:space="preserve">Durée : le marché prend effet à sa notification, prévue en janvier 2027, pour une durée maximale de dix mois, délais d'admission des livrables compris. La mission elle-même est d'une durée prévisionnelle d'environ six mois.</w:t>
      </w:r>
    </w:p>
    <w:p w14:paraId="4EC18153" w14:textId="3595A6EF" w:rsidR="002F19C2" w:rsidRDefault="00317734" w:rsidP="003D33C0">
      <w:pPr>
        <w:pStyle w:val="Paragraphedeliste"/>
        <w:numPr>
          <w:ilvl w:val="0"/>
          <w:numId w:val="1"/>
        </w:numPr>
        <w:spacing w:after="42"/>
        <w:jc w:val="both"/>
      </w:pPr>
      <w:r>
        <w:rPr>
          <w:sz w:val="19"/>
          <w:szCs w:val="19"/>
        </w:rPr>
        <w:t xml:space="preserve">Montant : le pouvoir adjudicateur publie un plafond de </w:t>
      </w:r>
      <w:r>
        <w:rPr>
          <w:b/>
          <w:bCs/>
          <w:sz w:val="19"/>
          <w:szCs w:val="19"/>
        </w:rPr>
        <w:t xml:space="preserve">110 000 € HT</w:t>
      </w:r>
      <w:r>
        <w:rPr>
          <w:sz w:val="19"/>
          <w:szCs w:val="19"/>
        </w:rPr>
        <w:t xml:space="preserve">, correspondant aux crédits affectés au marché. Une offre dont le montant excède ce plafond est inacceptable au sens de l'article L2152-3 du Code de la commande publique.</w:t>
      </w:r>
    </w:p>
    <w:p w14:paraId="4EC18153" w14:textId="3595A6EF" w:rsidR="002F19C2" w:rsidRDefault="00317734" w:rsidP="003D33C0">
      <w:pPr>
        <w:pStyle w:val="Paragraphedeliste"/>
        <w:numPr>
          <w:ilvl w:val="0"/>
          <w:numId w:val="1"/>
        </w:numPr>
        <w:spacing w:after="42"/>
        <w:jc w:val="both"/>
      </w:pPr>
      <w:r>
        <w:rPr>
          <w:sz w:val="19"/>
          <w:szCs w:val="19"/>
        </w:rPr>
        <w:t xml:space="preserve">Nomenclature CPV : 72224000-1 (services de conseil en gestion de projets) et 79410000-1 (services de conseil en affaires et en gestion).</w:t>
      </w:r>
    </w:p>
    <w:p w14:paraId="4EC18153" w14:textId="3595A6EF" w:rsidR="002F19C2" w:rsidRDefault="00317734" w:rsidP="003D33C0">
      <w:pPr>
        <w:pStyle w:val="Paragraphedeliste"/>
        <w:numPr>
          <w:ilvl w:val="0"/>
          <w:numId w:val="1"/>
        </w:numPr>
        <w:spacing w:after="42"/>
        <w:jc w:val="both"/>
      </w:pPr>
      <w:r>
        <w:rPr>
          <w:sz w:val="19"/>
          <w:szCs w:val="19"/>
        </w:rPr>
        <w:t xml:space="preserve">Le marché n'est pas alloti : état des lieux, schéma directeur et feuille de route procèdent d'une même démarche conduite par une même équipe, et leur séparation rendrait l'exécution techniquement difficile (articles L2113-11 et R2113-3 du Code de la commande publique).</w:t>
      </w:r>
    </w:p>
    <w:p w14:paraId="4EC18153" w14:textId="3595A6EF" w:rsidR="002F19C2" w:rsidRDefault="00317734" w:rsidP="003D33C0">
      <w:pPr>
        <w:pStyle w:val="Paragraphedeliste"/>
        <w:numPr>
          <w:ilvl w:val="0"/>
          <w:numId w:val="1"/>
        </w:numPr>
        <w:spacing w:after="42"/>
        <w:jc w:val="both"/>
      </w:pPr>
      <w:r>
        <w:rPr>
          <w:sz w:val="19"/>
          <w:szCs w:val="19"/>
        </w:rPr>
        <w:t xml:space="preserve">Considérations environnementales et sociales : le marché comporte des spécifications techniques à caractère environnemental et social et des conditions d'exécution environnementales (article 7 du CCP) et un critère d'attribution environnemental (article 6 du présent RC), en application des articles L2111-1, L2112-2 et L2152-7 du Code de la commande publique.</w:t>
      </w:r>
    </w:p>
    <w:p w14:paraId="4EC18152" w14:textId="77777777" w:rsidR="002F19C2" w:rsidRDefault="00317734">
      <w:pPr>
        <w:pBdr>
          <w:bottom w:val="single" w:sz="8" w:space="4" w:color="C8871E"/>
        </w:pBdr>
        <w:spacing w:before="260" w:after="100"/>
      </w:pPr>
      <w:r>
        <w:rPr>
          <w:b/>
          <w:bCs/>
          <w:color w:val="2B0A3D"/>
          <w:sz w:val="24"/>
          <w:szCs w:val="24"/>
        </w:rPr>
        <w:t xml:space="preserve">2. Calendrier de la consultation</w:t>
      </w:r>
    </w:p>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955"/>
        <w:gridCol w:w="4394"/>
      </w:tblGrid>
      <w:tr w:rsidR="002F19C2" w14:paraId="4EC1815B" w14:textId="77777777">
        <w:tc>
          <w:tcPr>
            <w:tcW w:w="4955" w:type="dxa"/>
            <w:tcBorders>
              <w:top w:val="single" w:sz="4" w:space="0" w:color="CCCCCC"/>
              <w:left w:val="single" w:sz="4" w:space="0" w:color="CCCCCC"/>
              <w:bottom w:val="single" w:sz="4" w:space="0" w:color="CCCCCC"/>
              <w:right w:val="single" w:sz="4" w:space="0" w:color="CCCCCC"/>
            </w:tcBorders>
            <w:shd w:val="clear" w:color="auto" w:fill="2B0A3D"/>
            <w:tcMar>
              <w:top w:w="55" w:type="dxa"/>
              <w:left w:w="100" w:type="dxa"/>
              <w:bottom w:w="55" w:type="dxa"/>
              <w:right w:w="100" w:type="dxa"/>
            </w:tcMar>
            <w:vAlign w:val="center"/>
          </w:tcPr>
          <w:p w14:paraId="4EC18159" w14:textId="77777777" w:rsidR="002F19C2" w:rsidRDefault="00317734" w:rsidP="00F97C82">
            <w:pPr>
              <w:jc w:val="center"/>
            </w:pPr>
            <w:r>
              <w:rPr>
                <w:b/>
                <w:bCs/>
                <w:color w:val="FFFFFF"/>
                <w:sz w:val="18"/>
                <w:szCs w:val="18"/>
              </w:rPr>
              <w:t xml:space="preserve">Étape</w:t>
            </w:r>
          </w:p>
        </w:tc>
        <w:tc>
          <w:tcPr>
            <w:tcW w:w="4394" w:type="dxa"/>
            <w:tcBorders>
              <w:top w:val="single" w:sz="4" w:space="0" w:color="CCCCCC"/>
              <w:left w:val="single" w:sz="4" w:space="0" w:color="CCCCCC"/>
              <w:bottom w:val="single" w:sz="4" w:space="0" w:color="CCCCCC"/>
              <w:right w:val="single" w:sz="4" w:space="0" w:color="CCCCCC"/>
            </w:tcBorders>
            <w:shd w:val="clear" w:color="auto" w:fill="2B0A3D"/>
            <w:tcMar>
              <w:top w:w="55" w:type="dxa"/>
              <w:left w:w="100" w:type="dxa"/>
              <w:bottom w:w="55" w:type="dxa"/>
              <w:right w:w="100" w:type="dxa"/>
            </w:tcMar>
            <w:vAlign w:val="center"/>
          </w:tcPr>
          <w:p w14:paraId="4EC1815A" w14:textId="77777777" w:rsidR="002F19C2" w:rsidRDefault="00317734" w:rsidP="00F97C82">
            <w:pPr>
              <w:jc w:val="center"/>
            </w:pPr>
            <w:r>
              <w:rPr>
                <w:b/>
                <w:bCs/>
                <w:color w:val="FFFFFF"/>
                <w:sz w:val="18"/>
                <w:szCs w:val="18"/>
              </w:rPr>
              <w:t xml:space="preserve">Date</w:t>
            </w:r>
          </w:p>
        </w:tc>
      </w:tr>
      <w:tr w:rsidR="002F19C2" w14:paraId="4EC1815E" w14:textId="77777777">
        <w:tc>
          <w:tcPr>
            <w:tcW w:w="4955" w:type="dxa"/>
            <w:tcBorders>
              <w:top w:val="single" w:sz="4" w:space="0" w:color="CCCCCC"/>
              <w:left w:val="single" w:sz="4" w:space="0" w:color="CCCCCC"/>
              <w:bottom w:val="single" w:sz="4" w:space="0" w:color="CCCCCC"/>
              <w:right w:val="single" w:sz="4" w:space="0" w:color="CCCCCC"/>
            </w:tcBorders>
            <w:tcMar>
              <w:top w:w="55" w:type="dxa"/>
              <w:left w:w="100" w:type="dxa"/>
              <w:bottom w:w="55" w:type="dxa"/>
              <w:right w:w="100" w:type="dxa"/>
            </w:tcMar>
            <w:vAlign w:val="center"/>
          </w:tcPr>
          <w:p w14:paraId="4EC1815C" w14:textId="77777777" w:rsidR="002F19C2" w:rsidRDefault="00317734">
            <w:pPr/>
            <w:r>
              <w:rPr>
                <w:sz w:val="18"/>
                <w:szCs w:val="18"/>
              </w:rPr>
              <w:t xml:space="preserve">Publication de la consultation (profil d'acheteur PLACE)</w:t>
            </w:r>
          </w:p>
        </w:tc>
        <w:tc>
          <w:tcPr>
            <w:tcW w:w="4394" w:type="dxa"/>
            <w:tcBorders>
              <w:top w:val="single" w:sz="4" w:space="0" w:color="CCCCCC"/>
              <w:left w:val="single" w:sz="4" w:space="0" w:color="CCCCCC"/>
              <w:bottom w:val="single" w:sz="4" w:space="0" w:color="CCCCCC"/>
              <w:right w:val="single" w:sz="4" w:space="0" w:color="CCCCCC"/>
            </w:tcBorders>
            <w:tcMar>
              <w:top w:w="55" w:type="dxa"/>
              <w:left w:w="100" w:type="dxa"/>
              <w:bottom w:w="55" w:type="dxa"/>
              <w:right w:w="100" w:type="dxa"/>
            </w:tcMar>
            <w:vAlign w:val="center"/>
          </w:tcPr>
          <w:p w14:paraId="4EC1815D" w14:textId="77777777" w:rsidR="002F19C2" w:rsidRDefault="00317734">
            <w:pPr/>
            <w:r>
              <w:rPr>
                <w:b/>
                <w:bCs/>
                <w:sz w:val="18"/>
                <w:szCs w:val="18"/>
              </w:rPr>
              <w:t xml:space="preserve">Mercredi 28 octobre 2026</w:t>
            </w:r>
          </w:p>
        </w:tc>
      </w:tr>
      <w:tr w:rsidR="002F19C2" w14:paraId="4EC1815E" w14:textId="77777777">
        <w:tc>
          <w:tcPr>
            <w:tcW w:w="4955" w:type="dxa"/>
            <w:tcBorders>
              <w:top w:val="single" w:sz="4" w:space="0" w:color="CCCCCC"/>
              <w:left w:val="single" w:sz="4" w:space="0" w:color="CCCCCC"/>
              <w:bottom w:val="single" w:sz="4" w:space="0" w:color="CCCCCC"/>
              <w:right w:val="single" w:sz="4" w:space="0" w:color="CCCCCC"/>
            </w:tcBorders>
            <w:tcMar>
              <w:top w:w="55" w:type="dxa"/>
              <w:left w:w="100" w:type="dxa"/>
              <w:bottom w:w="55" w:type="dxa"/>
              <w:right w:w="100" w:type="dxa"/>
            </w:tcMar>
            <w:vAlign w:val="center"/>
          </w:tcPr>
          <w:p w14:paraId="4EC1815C" w14:textId="77777777" w:rsidR="002F19C2" w:rsidRDefault="00317734">
            <w:pPr/>
            <w:r>
              <w:rPr>
                <w:sz w:val="18"/>
                <w:szCs w:val="18"/>
              </w:rPr>
              <w:t xml:space="preserve">Date limite des questions des candidats</w:t>
            </w:r>
          </w:p>
        </w:tc>
        <w:tc>
          <w:tcPr>
            <w:tcW w:w="4394" w:type="dxa"/>
            <w:tcBorders>
              <w:top w:val="single" w:sz="4" w:space="0" w:color="CCCCCC"/>
              <w:left w:val="single" w:sz="4" w:space="0" w:color="CCCCCC"/>
              <w:bottom w:val="single" w:sz="4" w:space="0" w:color="CCCCCC"/>
              <w:right w:val="single" w:sz="4" w:space="0" w:color="CCCCCC"/>
            </w:tcBorders>
            <w:tcMar>
              <w:top w:w="55" w:type="dxa"/>
              <w:left w:w="100" w:type="dxa"/>
              <w:bottom w:w="55" w:type="dxa"/>
              <w:right w:w="100" w:type="dxa"/>
            </w:tcMar>
            <w:vAlign w:val="center"/>
          </w:tcPr>
          <w:p w14:paraId="4EC1815D" w14:textId="77777777" w:rsidR="002F19C2" w:rsidRDefault="00317734">
            <w:pPr/>
            <w:r>
              <w:rPr>
                <w:sz w:val="18"/>
                <w:szCs w:val="18"/>
              </w:rPr>
              <w:t xml:space="preserve">Vendredi 20 novembre 2026 à 12h00</w:t>
            </w:r>
          </w:p>
        </w:tc>
      </w:tr>
      <w:tr w:rsidR="002F19C2" w14:paraId="4EC1815E" w14:textId="77777777">
        <w:tc>
          <w:tcPr>
            <w:tcW w:w="4955" w:type="dxa"/>
            <w:tcBorders>
              <w:top w:val="single" w:sz="4" w:space="0" w:color="CCCCCC"/>
              <w:left w:val="single" w:sz="4" w:space="0" w:color="CCCCCC"/>
              <w:bottom w:val="single" w:sz="4" w:space="0" w:color="CCCCCC"/>
              <w:right w:val="single" w:sz="4" w:space="0" w:color="CCCCCC"/>
            </w:tcBorders>
            <w:tcMar>
              <w:top w:w="55" w:type="dxa"/>
              <w:left w:w="100" w:type="dxa"/>
              <w:bottom w:w="55" w:type="dxa"/>
              <w:right w:w="100" w:type="dxa"/>
            </w:tcMar>
            <w:vAlign w:val="center"/>
          </w:tcPr>
          <w:p w14:paraId="4EC1815C" w14:textId="77777777" w:rsidR="002F19C2" w:rsidRDefault="00317734">
            <w:pPr/>
            <w:r>
              <w:rPr>
                <w:sz w:val="18"/>
                <w:szCs w:val="18"/>
              </w:rPr>
              <w:t xml:space="preserve">Date limite de réponse de l'acheteur</w:t>
            </w:r>
          </w:p>
        </w:tc>
        <w:tc>
          <w:tcPr>
            <w:tcW w:w="4394" w:type="dxa"/>
            <w:tcBorders>
              <w:top w:val="single" w:sz="4" w:space="0" w:color="CCCCCC"/>
              <w:left w:val="single" w:sz="4" w:space="0" w:color="CCCCCC"/>
              <w:bottom w:val="single" w:sz="4" w:space="0" w:color="CCCCCC"/>
              <w:right w:val="single" w:sz="4" w:space="0" w:color="CCCCCC"/>
            </w:tcBorders>
            <w:tcMar>
              <w:top w:w="55" w:type="dxa"/>
              <w:left w:w="100" w:type="dxa"/>
              <w:bottom w:w="55" w:type="dxa"/>
              <w:right w:w="100" w:type="dxa"/>
            </w:tcMar>
            <w:vAlign w:val="center"/>
          </w:tcPr>
          <w:p w14:paraId="4EC1815D" w14:textId="77777777" w:rsidR="002F19C2" w:rsidRDefault="00317734">
            <w:pPr/>
            <w:r>
              <w:rPr>
                <w:sz w:val="18"/>
                <w:szCs w:val="18"/>
              </w:rPr>
              <w:t xml:space="preserve">Mardi 24 novembre 2026</w:t>
            </w:r>
          </w:p>
        </w:tc>
      </w:tr>
      <w:tr w:rsidR="002F19C2" w14:paraId="4EC1815E" w14:textId="77777777">
        <w:tc>
          <w:tcPr>
            <w:tcW w:w="4955" w:type="dxa"/>
            <w:tcBorders>
              <w:top w:val="single" w:sz="4" w:space="0" w:color="CCCCCC"/>
              <w:left w:val="single" w:sz="4" w:space="0" w:color="CCCCCC"/>
              <w:bottom w:val="single" w:sz="4" w:space="0" w:color="CCCCCC"/>
              <w:right w:val="single" w:sz="4" w:space="0" w:color="CCCCCC"/>
            </w:tcBorders>
            <w:tcMar>
              <w:top w:w="55" w:type="dxa"/>
              <w:left w:w="100" w:type="dxa"/>
              <w:bottom w:w="55" w:type="dxa"/>
              <w:right w:w="100" w:type="dxa"/>
            </w:tcMar>
            <w:vAlign w:val="center"/>
          </w:tcPr>
          <w:p w14:paraId="4EC1815C" w14:textId="77777777" w:rsidR="002F19C2" w:rsidRDefault="00317734">
            <w:pPr/>
            <w:r>
              <w:rPr>
                <w:sz w:val="18"/>
                <w:szCs w:val="18"/>
              </w:rPr>
              <w:t xml:space="preserve">Date et heure limites de remise des offres</w:t>
            </w:r>
          </w:p>
        </w:tc>
        <w:tc>
          <w:tcPr>
            <w:tcW w:w="4394" w:type="dxa"/>
            <w:tcBorders>
              <w:top w:val="single" w:sz="4" w:space="0" w:color="CCCCCC"/>
              <w:left w:val="single" w:sz="4" w:space="0" w:color="CCCCCC"/>
              <w:bottom w:val="single" w:sz="4" w:space="0" w:color="CCCCCC"/>
              <w:right w:val="single" w:sz="4" w:space="0" w:color="CCCCCC"/>
            </w:tcBorders>
            <w:tcMar>
              <w:top w:w="55" w:type="dxa"/>
              <w:left w:w="100" w:type="dxa"/>
              <w:bottom w:w="55" w:type="dxa"/>
              <w:right w:w="100" w:type="dxa"/>
            </w:tcMar>
            <w:vAlign w:val="center"/>
          </w:tcPr>
          <w:p w14:paraId="4EC1815D" w14:textId="77777777" w:rsidR="002F19C2" w:rsidRDefault="00317734">
            <w:pPr/>
            <w:r>
              <w:rPr>
                <w:b/>
                <w:bCs/>
                <w:sz w:val="18"/>
                <w:szCs w:val="18"/>
              </w:rPr>
              <w:t xml:space="preserve">Lundi 30 novembre 2026 à 12h00</w:t>
            </w:r>
          </w:p>
        </w:tc>
      </w:tr>
      <w:tr w:rsidR="002F19C2" w14:paraId="4EC1815E" w14:textId="77777777">
        <w:tc>
          <w:tcPr>
            <w:tcW w:w="4955" w:type="dxa"/>
            <w:tcBorders>
              <w:top w:val="single" w:sz="4" w:space="0" w:color="CCCCCC"/>
              <w:left w:val="single" w:sz="4" w:space="0" w:color="CCCCCC"/>
              <w:bottom w:val="single" w:sz="4" w:space="0" w:color="CCCCCC"/>
              <w:right w:val="single" w:sz="4" w:space="0" w:color="CCCCCC"/>
            </w:tcBorders>
            <w:tcMar>
              <w:top w:w="55" w:type="dxa"/>
              <w:left w:w="100" w:type="dxa"/>
              <w:bottom w:w="55" w:type="dxa"/>
              <w:right w:w="100" w:type="dxa"/>
            </w:tcMar>
            <w:vAlign w:val="center"/>
          </w:tcPr>
          <w:p w14:paraId="4EC1815C" w14:textId="77777777" w:rsidR="002F19C2" w:rsidRDefault="00317734">
            <w:pPr/>
            <w:r>
              <w:rPr>
                <w:sz w:val="18"/>
                <w:szCs w:val="18"/>
              </w:rPr>
              <w:t xml:space="preserve">Invitation des candidats retenus pour la négociation</w:t>
            </w:r>
          </w:p>
        </w:tc>
        <w:tc>
          <w:tcPr>
            <w:tcW w:w="4394" w:type="dxa"/>
            <w:tcBorders>
              <w:top w:val="single" w:sz="4" w:space="0" w:color="CCCCCC"/>
              <w:left w:val="single" w:sz="4" w:space="0" w:color="CCCCCC"/>
              <w:bottom w:val="single" w:sz="4" w:space="0" w:color="CCCCCC"/>
              <w:right w:val="single" w:sz="4" w:space="0" w:color="CCCCCC"/>
            </w:tcBorders>
            <w:tcMar>
              <w:top w:w="55" w:type="dxa"/>
              <w:left w:w="100" w:type="dxa"/>
              <w:bottom w:w="55" w:type="dxa"/>
              <w:right w:w="100" w:type="dxa"/>
            </w:tcMar>
            <w:vAlign w:val="center"/>
          </w:tcPr>
          <w:p w14:paraId="4EC1815D" w14:textId="77777777" w:rsidR="002F19C2" w:rsidRDefault="00317734">
            <w:pPr/>
            <w:r>
              <w:rPr>
                <w:sz w:val="18"/>
                <w:szCs w:val="18"/>
              </w:rPr>
              <w:t xml:space="preserve">Au plus tard le jeudi 10 décembre 2026</w:t>
            </w:r>
          </w:p>
        </w:tc>
      </w:tr>
      <w:tr w:rsidR="002F19C2" w14:paraId="4EC1815E" w14:textId="77777777">
        <w:tc>
          <w:tcPr>
            <w:tcW w:w="4955" w:type="dxa"/>
            <w:tcBorders>
              <w:top w:val="single" w:sz="4" w:space="0" w:color="CCCCCC"/>
              <w:left w:val="single" w:sz="4" w:space="0" w:color="CCCCCC"/>
              <w:bottom w:val="single" w:sz="4" w:space="0" w:color="CCCCCC"/>
              <w:right w:val="single" w:sz="4" w:space="0" w:color="CCCCCC"/>
            </w:tcBorders>
            <w:tcMar>
              <w:top w:w="55" w:type="dxa"/>
              <w:left w:w="100" w:type="dxa"/>
              <w:bottom w:w="55" w:type="dxa"/>
              <w:right w:w="100" w:type="dxa"/>
            </w:tcMar>
            <w:vAlign w:val="center"/>
          </w:tcPr>
          <w:p w14:paraId="4EC1815C" w14:textId="77777777" w:rsidR="002F19C2" w:rsidRDefault="00317734">
            <w:pPr/>
            <w:r>
              <w:rPr>
                <w:sz w:val="18"/>
                <w:szCs w:val="18"/>
              </w:rPr>
              <w:t xml:space="preserve">Auditions des candidats (présentiel ou visioconférence)</w:t>
            </w:r>
          </w:p>
        </w:tc>
        <w:tc>
          <w:tcPr>
            <w:tcW w:w="4394" w:type="dxa"/>
            <w:tcBorders>
              <w:top w:val="single" w:sz="4" w:space="0" w:color="CCCCCC"/>
              <w:left w:val="single" w:sz="4" w:space="0" w:color="CCCCCC"/>
              <w:bottom w:val="single" w:sz="4" w:space="0" w:color="CCCCCC"/>
              <w:right w:val="single" w:sz="4" w:space="0" w:color="CCCCCC"/>
            </w:tcBorders>
            <w:tcMar>
              <w:top w:w="55" w:type="dxa"/>
              <w:left w:w="100" w:type="dxa"/>
              <w:bottom w:w="55" w:type="dxa"/>
              <w:right w:w="100" w:type="dxa"/>
            </w:tcMar>
            <w:vAlign w:val="center"/>
          </w:tcPr>
          <w:p w14:paraId="4EC1815D" w14:textId="77777777" w:rsidR="002F19C2" w:rsidRDefault="00317734">
            <w:pPr/>
            <w:r>
              <w:rPr>
                <w:sz w:val="18"/>
                <w:szCs w:val="18"/>
              </w:rPr>
              <w:t xml:space="preserve">Mardi 15 ou mercredi 16 décembre 2026</w:t>
            </w:r>
          </w:p>
        </w:tc>
      </w:tr>
      <w:tr w:rsidR="002F19C2" w14:paraId="4EC1815E" w14:textId="77777777">
        <w:tc>
          <w:tcPr>
            <w:tcW w:w="4955" w:type="dxa"/>
            <w:tcBorders>
              <w:top w:val="single" w:sz="4" w:space="0" w:color="CCCCCC"/>
              <w:left w:val="single" w:sz="4" w:space="0" w:color="CCCCCC"/>
              <w:bottom w:val="single" w:sz="4" w:space="0" w:color="CCCCCC"/>
              <w:right w:val="single" w:sz="4" w:space="0" w:color="CCCCCC"/>
            </w:tcBorders>
            <w:tcMar>
              <w:top w:w="55" w:type="dxa"/>
              <w:left w:w="100" w:type="dxa"/>
              <w:bottom w:w="55" w:type="dxa"/>
              <w:right w:w="100" w:type="dxa"/>
            </w:tcMar>
            <w:vAlign w:val="center"/>
          </w:tcPr>
          <w:p w14:paraId="4EC1815C" w14:textId="77777777" w:rsidR="002F19C2" w:rsidRDefault="00317734">
            <w:pPr/>
            <w:r>
              <w:rPr>
                <w:sz w:val="18"/>
                <w:szCs w:val="18"/>
              </w:rPr>
              <w:t xml:space="preserve">Date et heure limites de remise des offres ajustées</w:t>
            </w:r>
          </w:p>
        </w:tc>
        <w:tc>
          <w:tcPr>
            <w:tcW w:w="4394" w:type="dxa"/>
            <w:tcBorders>
              <w:top w:val="single" w:sz="4" w:space="0" w:color="CCCCCC"/>
              <w:left w:val="single" w:sz="4" w:space="0" w:color="CCCCCC"/>
              <w:bottom w:val="single" w:sz="4" w:space="0" w:color="CCCCCC"/>
              <w:right w:val="single" w:sz="4" w:space="0" w:color="CCCCCC"/>
            </w:tcBorders>
            <w:tcMar>
              <w:top w:w="55" w:type="dxa"/>
              <w:left w:w="100" w:type="dxa"/>
              <w:bottom w:w="55" w:type="dxa"/>
              <w:right w:w="100" w:type="dxa"/>
            </w:tcMar>
            <w:vAlign w:val="center"/>
          </w:tcPr>
          <w:p w14:paraId="4EC1815D" w14:textId="77777777" w:rsidR="002F19C2" w:rsidRDefault="00317734">
            <w:pPr/>
            <w:r>
              <w:rPr>
                <w:b/>
                <w:bCs/>
                <w:sz w:val="18"/>
                <w:szCs w:val="18"/>
              </w:rPr>
              <w:t xml:space="preserve">Vendredi 18 décembre 2026 à 12h00</w:t>
            </w:r>
          </w:p>
        </w:tc>
      </w:tr>
      <w:tr w:rsidR="002F19C2" w14:paraId="4EC1815E" w14:textId="77777777">
        <w:tc>
          <w:tcPr>
            <w:tcW w:w="4955" w:type="dxa"/>
            <w:tcBorders>
              <w:top w:val="single" w:sz="4" w:space="0" w:color="CCCCCC"/>
              <w:left w:val="single" w:sz="4" w:space="0" w:color="CCCCCC"/>
              <w:bottom w:val="single" w:sz="4" w:space="0" w:color="CCCCCC"/>
              <w:right w:val="single" w:sz="4" w:space="0" w:color="CCCCCC"/>
            </w:tcBorders>
            <w:tcMar>
              <w:top w:w="55" w:type="dxa"/>
              <w:left w:w="100" w:type="dxa"/>
              <w:bottom w:w="55" w:type="dxa"/>
              <w:right w:w="100" w:type="dxa"/>
            </w:tcMar>
            <w:vAlign w:val="center"/>
          </w:tcPr>
          <w:p w14:paraId="4EC1815C" w14:textId="77777777" w:rsidR="002F19C2" w:rsidRDefault="00317734">
            <w:pPr/>
            <w:r>
              <w:rPr>
                <w:sz w:val="18"/>
                <w:szCs w:val="18"/>
              </w:rPr>
              <w:t xml:space="preserve">Attribution et information des candidats</w:t>
            </w:r>
          </w:p>
        </w:tc>
        <w:tc>
          <w:tcPr>
            <w:tcW w:w="4394" w:type="dxa"/>
            <w:tcBorders>
              <w:top w:val="single" w:sz="4" w:space="0" w:color="CCCCCC"/>
              <w:left w:val="single" w:sz="4" w:space="0" w:color="CCCCCC"/>
              <w:bottom w:val="single" w:sz="4" w:space="0" w:color="CCCCCC"/>
              <w:right w:val="single" w:sz="4" w:space="0" w:color="CCCCCC"/>
            </w:tcBorders>
            <w:tcMar>
              <w:top w:w="55" w:type="dxa"/>
              <w:left w:w="100" w:type="dxa"/>
              <w:bottom w:w="55" w:type="dxa"/>
              <w:right w:w="100" w:type="dxa"/>
            </w:tcMar>
            <w:vAlign w:val="center"/>
          </w:tcPr>
          <w:p w14:paraId="4EC1815D" w14:textId="77777777" w:rsidR="002F19C2" w:rsidRDefault="00317734">
            <w:pPr/>
            <w:r>
              <w:rPr>
                <w:sz w:val="18"/>
                <w:szCs w:val="18"/>
              </w:rPr>
              <w:t xml:space="preserve">Semaine du 11 janvier 2027</w:t>
            </w:r>
          </w:p>
        </w:tc>
      </w:tr>
      <w:tr w:rsidR="002F19C2" w14:paraId="4EC1815E" w14:textId="77777777">
        <w:tc>
          <w:tcPr>
            <w:tcW w:w="4955" w:type="dxa"/>
            <w:tcBorders>
              <w:top w:val="single" w:sz="4" w:space="0" w:color="CCCCCC"/>
              <w:left w:val="single" w:sz="4" w:space="0" w:color="CCCCCC"/>
              <w:bottom w:val="single" w:sz="4" w:space="0" w:color="CCCCCC"/>
              <w:right w:val="single" w:sz="4" w:space="0" w:color="CCCCCC"/>
            </w:tcBorders>
            <w:tcMar>
              <w:top w:w="55" w:type="dxa"/>
              <w:left w:w="100" w:type="dxa"/>
              <w:bottom w:w="55" w:type="dxa"/>
              <w:right w:w="100" w:type="dxa"/>
            </w:tcMar>
            <w:vAlign w:val="center"/>
          </w:tcPr>
          <w:p w14:paraId="4EC1815C" w14:textId="77777777" w:rsidR="002F19C2" w:rsidRDefault="00317734">
            <w:pPr/>
            <w:r>
              <w:rPr>
                <w:sz w:val="18"/>
                <w:szCs w:val="18"/>
              </w:rPr>
              <w:t xml:space="preserve">Notification</w:t>
            </w:r>
          </w:p>
        </w:tc>
        <w:tc>
          <w:tcPr>
            <w:tcW w:w="4394" w:type="dxa"/>
            <w:tcBorders>
              <w:top w:val="single" w:sz="4" w:space="0" w:color="CCCCCC"/>
              <w:left w:val="single" w:sz="4" w:space="0" w:color="CCCCCC"/>
              <w:bottom w:val="single" w:sz="4" w:space="0" w:color="CCCCCC"/>
              <w:right w:val="single" w:sz="4" w:space="0" w:color="CCCCCC"/>
            </w:tcBorders>
            <w:tcMar>
              <w:top w:w="55" w:type="dxa"/>
              <w:left w:w="100" w:type="dxa"/>
              <w:bottom w:w="55" w:type="dxa"/>
              <w:right w:w="100" w:type="dxa"/>
            </w:tcMar>
            <w:vAlign w:val="center"/>
          </w:tcPr>
          <w:p w14:paraId="4EC1815D" w14:textId="77777777" w:rsidR="002F19C2" w:rsidRDefault="00317734">
            <w:pPr/>
            <w:r>
              <w:rPr>
                <w:sz w:val="18"/>
                <w:szCs w:val="18"/>
              </w:rPr>
              <w:t xml:space="preserve">Janvier 2027, après la fermeture de fin d'année de l'École</w:t>
            </w:r>
          </w:p>
        </w:tc>
      </w:tr>
      <w:tr w:rsidR="002F19C2" w14:paraId="4EC1815E" w14:textId="77777777">
        <w:tc>
          <w:tcPr>
            <w:tcW w:w="4955" w:type="dxa"/>
            <w:tcBorders>
              <w:top w:val="single" w:sz="4" w:space="0" w:color="CCCCCC"/>
              <w:left w:val="single" w:sz="4" w:space="0" w:color="CCCCCC"/>
              <w:bottom w:val="single" w:sz="4" w:space="0" w:color="CCCCCC"/>
              <w:right w:val="single" w:sz="4" w:space="0" w:color="CCCCCC"/>
            </w:tcBorders>
            <w:tcMar>
              <w:top w:w="55" w:type="dxa"/>
              <w:left w:w="100" w:type="dxa"/>
              <w:bottom w:w="55" w:type="dxa"/>
              <w:right w:w="100" w:type="dxa"/>
            </w:tcMar>
            <w:vAlign w:val="center"/>
          </w:tcPr>
          <w:p w14:paraId="4EC1815C" w14:textId="77777777" w:rsidR="002F19C2" w:rsidRDefault="00317734">
            <w:pPr/>
            <w:r>
              <w:rPr>
                <w:sz w:val="18"/>
                <w:szCs w:val="18"/>
              </w:rPr>
              <w:t xml:space="preserve">Début d'exécution des prestations</w:t>
            </w:r>
          </w:p>
        </w:tc>
        <w:tc>
          <w:tcPr>
            <w:tcW w:w="4394" w:type="dxa"/>
            <w:tcBorders>
              <w:top w:val="single" w:sz="4" w:space="0" w:color="CCCCCC"/>
              <w:left w:val="single" w:sz="4" w:space="0" w:color="CCCCCC"/>
              <w:bottom w:val="single" w:sz="4" w:space="0" w:color="CCCCCC"/>
              <w:right w:val="single" w:sz="4" w:space="0" w:color="CCCCCC"/>
            </w:tcBorders>
            <w:tcMar>
              <w:top w:w="55" w:type="dxa"/>
              <w:left w:w="100" w:type="dxa"/>
              <w:bottom w:w="55" w:type="dxa"/>
              <w:right w:w="100" w:type="dxa"/>
            </w:tcMar>
            <w:vAlign w:val="center"/>
          </w:tcPr>
          <w:p w14:paraId="4EC1815D" w14:textId="77777777" w:rsidR="002F19C2" w:rsidRDefault="00317734">
            <w:pPr/>
            <w:r>
              <w:rPr>
                <w:sz w:val="18"/>
                <w:szCs w:val="18"/>
              </w:rPr>
              <w:t xml:space="preserve">Fin janvier 2027</w:t>
            </w:r>
          </w:p>
        </w:tc>
      </w:tr>
      <w:tr w:rsidR="002F19C2" w14:paraId="4EC1815E" w14:textId="77777777">
        <w:tc>
          <w:tcPr>
            <w:tcW w:w="4955" w:type="dxa"/>
            <w:tcBorders>
              <w:top w:val="single" w:sz="4" w:space="0" w:color="CCCCCC"/>
              <w:left w:val="single" w:sz="4" w:space="0" w:color="CCCCCC"/>
              <w:bottom w:val="single" w:sz="4" w:space="0" w:color="CCCCCC"/>
              <w:right w:val="single" w:sz="4" w:space="0" w:color="CCCCCC"/>
            </w:tcBorders>
            <w:tcMar>
              <w:top w:w="55" w:type="dxa"/>
              <w:left w:w="100" w:type="dxa"/>
              <w:bottom w:w="55" w:type="dxa"/>
              <w:right w:w="100" w:type="dxa"/>
            </w:tcMar>
            <w:vAlign w:val="center"/>
          </w:tcPr>
          <w:p w14:paraId="4EC1815C" w14:textId="77777777" w:rsidR="002F19C2" w:rsidRDefault="00317734">
            <w:pPr/>
            <w:r>
              <w:rPr>
                <w:sz w:val="18"/>
                <w:szCs w:val="18"/>
              </w:rPr>
              <w:t xml:space="preserve">Délai de validité des offres</w:t>
            </w:r>
          </w:p>
        </w:tc>
        <w:tc>
          <w:tcPr>
            <w:tcW w:w="4394" w:type="dxa"/>
            <w:tcBorders>
              <w:top w:val="single" w:sz="4" w:space="0" w:color="CCCCCC"/>
              <w:left w:val="single" w:sz="4" w:space="0" w:color="CCCCCC"/>
              <w:bottom w:val="single" w:sz="4" w:space="0" w:color="CCCCCC"/>
              <w:right w:val="single" w:sz="4" w:space="0" w:color="CCCCCC"/>
            </w:tcBorders>
            <w:tcMar>
              <w:top w:w="55" w:type="dxa"/>
              <w:left w:w="100" w:type="dxa"/>
              <w:bottom w:w="55" w:type="dxa"/>
              <w:right w:w="100" w:type="dxa"/>
            </w:tcMar>
            <w:vAlign w:val="center"/>
          </w:tcPr>
          <w:p w14:paraId="4EC1815D" w14:textId="77777777" w:rsidR="002F19C2" w:rsidRDefault="00317734">
            <w:pPr/>
            <w:r>
              <w:rPr>
                <w:sz w:val="18"/>
                <w:szCs w:val="18"/>
              </w:rPr>
              <w:t xml:space="preserve">120 jours à compter de la date limite de remise des offres initiales</w:t>
            </w:r>
          </w:p>
        </w:tc>
      </w:tr>
    </w:tbl>
    <w:p w14:paraId="4EC1816E" w14:textId="446CE037" w:rsidR="002F19C2" w:rsidRDefault="00317734" w:rsidP="003D33C0">
      <w:pPr>
        <w:spacing w:after="75"/>
        <w:jc w:val="both"/>
      </w:pPr>
      <w:r>
        <w:rPr>
          <w:i/>
          <w:iCs/>
          <w:color w:val="666666"/>
          <w:sz w:val="19"/>
          <w:szCs w:val="19"/>
        </w:rPr>
        <w:t xml:space="preserve">Les questions sont posées exclusivement via le profil d'acheteur PLACE et les réponses sont publiées à l'ensemble des candidats. Aucune autre voie de contact n'est admise.</w:t>
      </w:r>
    </w:p>
    <w:p w14:paraId="4EC18152" w14:textId="77777777" w:rsidR="002F19C2" w:rsidRDefault="00317734">
      <w:pPr>
        <w:pBdr>
          <w:bottom w:val="single" w:sz="8" w:space="4" w:color="C8871E"/>
        </w:pBdr>
        <w:spacing w:before="260" w:after="100"/>
      </w:pPr>
      <w:r>
        <w:rPr>
          <w:b/>
          <w:bCs/>
          <w:color w:val="2B0A3D"/>
          <w:sz w:val="24"/>
          <w:szCs w:val="24"/>
        </w:rPr>
        <w:t xml:space="preserve">3. Contenu du dossier de consultation</w:t>
      </w:r>
    </w:p>
    <w:p w14:paraId="4EC18170" w14:textId="65D1D982" w:rsidR="002F19C2" w:rsidRDefault="00317734" w:rsidP="003D33C0">
      <w:pPr>
        <w:spacing w:after="75"/>
        <w:jc w:val="both"/>
      </w:pPr>
      <w:r>
        <w:rPr>
          <w:sz w:val="19"/>
        </w:rPr>
        <w:t xml:space="preserve">Le DCE comprend le présent RC et ses deux annexes, fournies en fichiers séparés (annexe 1, cadre de présentation de la candidature, et annexe 2, cadre de réponse technique), le CCP, qui tient lieu de CCAP et de CCTP, l'acte d'engagement (AE) et la décomposition du prix global et forfaitaire (DPGF).</w:t>
      </w:r>
    </w:p>
    <w:p w14:paraId="4EC18170" w14:textId="65D1D982" w:rsidR="002F19C2" w:rsidRDefault="00317734" w:rsidP="003D33C0">
      <w:pPr>
        <w:spacing w:after="75"/>
        <w:jc w:val="both"/>
      </w:pPr>
      <w:r>
        <w:rPr>
          <w:sz w:val="19"/>
        </w:rPr>
        <w:t xml:space="preserve">Il comprend également des annexes documentaires, qui constituent le socle de capitalisation visé au CCP : l'inventaire des services applicatifs, dans une version expurgée des données contractuelles (fournisseurs, montants et échéances), le recueil des besoins exprimés par les directions en 2025, la feuille de route interne du service informatique 2025-2028, les études de processus déjà réalisées (régies de production, paie des intervenants) et les chartes de l'École. Ces annexes sont des documents d'information établis à date et non contractuels. Elles sont communiquées aux seules fins de la présente consultation et de l'exécution du marché et ne peuvent être diffusées ni réutilisées à d'autres fins.</w:t>
      </w:r>
    </w:p>
    <w:p w14:paraId="4EC18170" w14:textId="65D1D982" w:rsidR="002F19C2" w:rsidRDefault="00317734" w:rsidP="003D33C0">
      <w:pPr>
        <w:spacing w:after="75"/>
        <w:jc w:val="both"/>
      </w:pPr>
      <w:r>
        <w:rPr>
          <w:sz w:val="19"/>
        </w:rPr>
        <w:t xml:space="preserve">Les formulaires nationaux (DC1, DC2 ou DUME, et DC4 pour la sous-traitance) ne sont pas joints : ils sont téléchargeables sur le site de la direction des affaires juridiques du ministère de l'Économie. Le DCE est téléchargeable gratuitement sur PLACE (www.marches-publics.gouv.fr).</w:t>
      </w:r>
    </w:p>
    <w:p w14:paraId="4EC18152" w14:textId="77777777" w:rsidR="002F19C2" w:rsidRDefault="00317734">
      <w:pPr>
        <w:pBdr>
          <w:bottom w:val="single" w:sz="8" w:space="4" w:color="C8871E"/>
        </w:pBdr>
        <w:spacing w:before="260" w:after="100"/>
      </w:pPr>
      <w:r>
        <w:rPr>
          <w:b/>
          <w:bCs/>
          <w:color w:val="2B0A3D"/>
          <w:sz w:val="24"/>
          <w:szCs w:val="24"/>
        </w:rPr>
        <w:t xml:space="preserve">4. Présentation des candidatures</w:t>
      </w:r>
    </w:p>
    <w:p w14:paraId="4EC18153" w14:textId="3595A6EF" w:rsidR="002F19C2" w:rsidRDefault="00317734" w:rsidP="003D33C0">
      <w:pPr>
        <w:pStyle w:val="Paragraphedeliste"/>
        <w:numPr>
          <w:ilvl w:val="0"/>
          <w:numId w:val="1"/>
        </w:numPr>
        <w:spacing w:after="42"/>
        <w:jc w:val="both"/>
      </w:pPr>
      <w:r>
        <w:rPr>
          <w:sz w:val="19"/>
          <w:szCs w:val="19"/>
        </w:rPr>
        <w:t xml:space="preserve">Formulaires DC1 et DC2 (ou DUME), déclaration sur l'honneur d'absence d'interdiction de soumissionner.</w:t>
      </w:r>
    </w:p>
    <w:p w14:paraId="4EC18153" w14:textId="3595A6EF" w:rsidR="002F19C2" w:rsidRDefault="00317734" w:rsidP="003D33C0">
      <w:pPr>
        <w:pStyle w:val="Paragraphedeliste"/>
        <w:numPr>
          <w:ilvl w:val="0"/>
          <w:numId w:val="1"/>
        </w:numPr>
        <w:spacing w:after="42"/>
        <w:jc w:val="both"/>
      </w:pPr>
      <w:r>
        <w:rPr>
          <w:sz w:val="19"/>
          <w:szCs w:val="19"/>
        </w:rPr>
        <w:t xml:space="preserve">Capacités économiques et financières : chiffre d'affaires global et chiffre d'affaires du domaine des trois derniers exercices, tels qu'ils ressortent des comptes annuels, et attestation d'assurance de responsabilité civile professionnelle en cours de validité.</w:t>
      </w:r>
    </w:p>
    <w:p w14:paraId="4EC18153" w14:textId="3595A6EF" w:rsidR="002F19C2" w:rsidRDefault="00317734" w:rsidP="003D33C0">
      <w:pPr>
        <w:pStyle w:val="Paragraphedeliste"/>
        <w:numPr>
          <w:ilvl w:val="0"/>
          <w:numId w:val="1"/>
        </w:numPr>
        <w:spacing w:after="42"/>
        <w:jc w:val="both"/>
      </w:pPr>
      <w:r>
        <w:rPr>
          <w:sz w:val="19"/>
          <w:szCs w:val="19"/>
        </w:rPr>
        <w:t xml:space="preserve">Capacités techniques et professionnelles : références de prestations similaires de moins de trois ans (missions d'état des lieux de processus, de schéma directeur ou de trajectoire SI et données, de préférence auprès d'établissements d'enseignement supérieur ou d'établissements culturels), avec les coordonnées d'un interlocuteur pour chaque référence, moyens humains mobilisables. Le cadre de présentation de la candidature (annexe 1 du présent RC, fourni en fichier séparé dans le DCE) est obligatoirement utilisé.</w:t>
      </w:r>
    </w:p>
    <w:p w14:paraId="4EC18153" w14:textId="3595A6EF" w:rsidR="002F19C2" w:rsidRDefault="00317734" w:rsidP="003D33C0">
      <w:pPr>
        <w:pStyle w:val="Paragraphedeliste"/>
        <w:numPr>
          <w:ilvl w:val="0"/>
          <w:numId w:val="1"/>
        </w:numPr>
        <w:spacing w:after="42"/>
        <w:jc w:val="both"/>
      </w:pPr>
      <w:r>
        <w:rPr>
          <w:sz w:val="19"/>
          <w:szCs w:val="19"/>
        </w:rPr>
        <w:t xml:space="preserve">Groupements : autorisés, sans forme imposée. En cas de groupement conjoint, le mandataire est solidaire de chacun des membres pour leurs obligations contractuelles. Sous-traitance admise, déclarée via le formulaire DC4.</w:t>
      </w:r>
    </w:p>
    <w:p w14:paraId="4EC18176" w14:textId="77777777" w:rsidR="002F19C2" w:rsidRDefault="00317734" w:rsidP="003D33C0">
      <w:pPr>
        <w:spacing w:after="75"/>
        <w:jc w:val="both"/>
      </w:pPr>
      <w:r>
        <w:rPr>
          <w:i/>
          <w:iCs/>
          <w:sz w:val="19"/>
          <w:szCs w:val="19"/>
        </w:rPr>
        <w:t xml:space="preserve">L'acheteur vérifie les informations déclarées, notamment en les rapprochant des comptes publiés (article R2144-1 du Code de la commande publique), et peut demander aux candidats de compléter leur dossier (article R2144-2).</w:t>
      </w:r>
    </w:p>
    <w:p w14:paraId="4EC18152" w14:textId="77777777" w:rsidR="002F19C2" w:rsidRDefault="00317734">
      <w:pPr>
        <w:pBdr>
          <w:bottom w:val="single" w:sz="8" w:space="4" w:color="C8871E"/>
        </w:pBdr>
        <w:spacing w:before="260" w:after="100"/>
      </w:pPr>
      <w:r>
        <w:rPr>
          <w:b/>
          <w:bCs/>
          <w:color w:val="2B0A3D"/>
          <w:sz w:val="24"/>
          <w:szCs w:val="24"/>
        </w:rPr>
        <w:t xml:space="preserve">5. Présentation des offres</w:t>
      </w:r>
    </w:p>
    <w:p w14:paraId="4EC18153" w14:textId="3595A6EF" w:rsidR="002F19C2" w:rsidRDefault="00317734" w:rsidP="003D33C0">
      <w:pPr>
        <w:pStyle w:val="Paragraphedeliste"/>
        <w:numPr>
          <w:ilvl w:val="0"/>
          <w:numId w:val="1"/>
        </w:numPr>
        <w:spacing w:after="42"/>
        <w:jc w:val="both"/>
      </w:pPr>
      <w:r>
        <w:rPr>
          <w:sz w:val="19"/>
          <w:szCs w:val="19"/>
        </w:rPr>
        <w:t xml:space="preserve">Le mémoire technique, établi obligatoirement selon le cadre de réponse technique (annexe 2 du présent RC, fourni en fichier séparé dans le DCE), limité à vingt-cinq pages au format A4, en police de taille 10 au minimum, hors CV des intervenants. Les pages au-delà de cette limite ne sont pas examinées. Aucune autre annexe n'est admise : les exemples de livrables ou de méthodes que le candidat souhaite présenter sont intégrés au corps du mémoire et comptent dans la limite de pages. Le candidat apporte une réponse rédigée à chacune des rubriques du cadre.</w:t>
      </w:r>
    </w:p>
    <w:p w14:paraId="4EC18153" w14:textId="3595A6EF" w:rsidR="002F19C2" w:rsidRDefault="00317734" w:rsidP="003D33C0">
      <w:pPr>
        <w:pStyle w:val="Paragraphedeliste"/>
        <w:numPr>
          <w:ilvl w:val="0"/>
          <w:numId w:val="1"/>
        </w:numPr>
        <w:spacing w:after="42"/>
        <w:jc w:val="both"/>
      </w:pPr>
      <w:r>
        <w:rPr>
          <w:sz w:val="19"/>
          <w:szCs w:val="19"/>
        </w:rPr>
        <w:t xml:space="preserve">La décomposition du prix global et forfaitaire (DPGF) intégralement complétée, en euros HT, par phase. En cas d'erreur de calcul, les montants sont rectifiés à partir des jours et des taux journaliers indiqués, et le candidat est invité à confirmer son offre ainsi rectifiée.</w:t>
      </w:r>
    </w:p>
    <w:p w14:paraId="4EC18153" w14:textId="3595A6EF" w:rsidR="002F19C2" w:rsidRDefault="00317734" w:rsidP="003D33C0">
      <w:pPr>
        <w:pStyle w:val="Paragraphedeliste"/>
        <w:numPr>
          <w:ilvl w:val="0"/>
          <w:numId w:val="1"/>
        </w:numPr>
        <w:spacing w:after="42"/>
        <w:jc w:val="both"/>
      </w:pPr>
      <w:r>
        <w:rPr>
          <w:sz w:val="19"/>
          <w:szCs w:val="19"/>
        </w:rPr>
        <w:t xml:space="preserve">Les CV nominatifs des intervenants proposés, dont le chef de mission, avec leur taux d'affectation prévisionnel.</w:t>
      </w:r>
    </w:p>
    <w:p w14:paraId="4EC18153" w14:textId="3595A6EF" w:rsidR="002F19C2" w:rsidRDefault="00317734" w:rsidP="003D33C0">
      <w:pPr>
        <w:pStyle w:val="Paragraphedeliste"/>
        <w:numPr>
          <w:ilvl w:val="0"/>
          <w:numId w:val="1"/>
        </w:numPr>
        <w:spacing w:after="42"/>
        <w:jc w:val="both"/>
      </w:pPr>
      <w:r>
        <w:rPr>
          <w:sz w:val="19"/>
          <w:szCs w:val="19"/>
        </w:rPr>
        <w:t xml:space="preserve">L'acte d'engagement n'est pas à remettre avec l'offre. Il est complété et signé électroniquement par le seul attributaire, à l'issue de la procédure.</w:t>
      </w:r>
    </w:p>
    <w:p w14:paraId="4EC18153" w14:textId="3595A6EF" w:rsidR="002F19C2" w:rsidRDefault="00317734" w:rsidP="003D33C0">
      <w:pPr>
        <w:pStyle w:val="Paragraphedeliste"/>
        <w:numPr>
          <w:ilvl w:val="0"/>
          <w:numId w:val="1"/>
        </w:numPr>
        <w:spacing w:after="42"/>
        <w:jc w:val="both"/>
      </w:pPr>
      <w:r>
        <w:rPr>
          <w:sz w:val="19"/>
          <w:szCs w:val="19"/>
        </w:rPr>
        <w:t xml:space="preserve">Remise des offres exclusivement par voie dématérialisée sur PLACE avant la date limite. Copie de sauvegarde admise dans les conditions réglementaires. Les offres hors délai sont éliminées.</w:t>
      </w:r>
    </w:p>
    <w:p w14:paraId="4EC18170" w14:textId="65D1D982" w:rsidR="002F19C2" w:rsidRDefault="00317734" w:rsidP="003D33C0">
      <w:pPr>
        <w:spacing w:after="75"/>
        <w:jc w:val="both"/>
      </w:pPr>
      <w:r>
        <w:rPr>
          <w:sz w:val="19"/>
        </w:rPr>
        <w:t xml:space="preserve">Est irrégulière toute offre qui ne comporte pas l'une des trois pièces suivantes : un mémoire technique établi selon le cadre de l'annexe 2, la DPGF complétée, les CV des intervenants proposés. Une présentation générale ou commerciale qui ne répond pas aux rubriques du cadre ne tient pas lieu de mémoire technique. Une rubrique laissée sans réponse est prise en compte comme une absence de réponse sur ce point dans l'appréciation d'ensemble du sous-critère correspondant. Les variantes ne sont pas autorisées. Les offres sont rédigées en français et chiffrées en euros.</w:t>
      </w:r>
    </w:p>
    <w:p w14:paraId="4EC18152" w14:textId="77777777" w:rsidR="002F19C2" w:rsidRDefault="00317734">
      <w:pPr>
        <w:pBdr>
          <w:bottom w:val="single" w:sz="8" w:space="4" w:color="C8871E"/>
        </w:pBdr>
        <w:spacing w:before="260" w:after="100"/>
      </w:pPr>
      <w:r>
        <w:rPr>
          <w:b/>
          <w:bCs/>
          <w:color w:val="2B0A3D"/>
          <w:sz w:val="24"/>
          <w:szCs w:val="24"/>
        </w:rPr>
        <w:t xml:space="preserve">6. Jugement des offres</w:t>
      </w:r>
    </w:p>
    <w:p w14:paraId="4EC18170" w14:textId="65D1D982" w:rsidR="002F19C2" w:rsidRDefault="00317734" w:rsidP="003D33C0">
      <w:pPr>
        <w:spacing w:after="75"/>
        <w:jc w:val="both"/>
      </w:pPr>
      <w:r>
        <w:rPr>
          <w:sz w:val="19"/>
        </w:rPr>
        <w:t xml:space="preserve">Les offres régulières, acceptables et appropriées sont classées afin d'identifier l'offre économiquement la plus avantageuse (article L2152-7 du Code de la commande publique), appréciée en fonction des critères pondérés suivants :</w:t>
      </w:r>
    </w:p>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7667"/>
        <w:gridCol w:w="1683"/>
      </w:tblGrid>
      <w:tr w:rsidR="002F19C2" w14:paraId="4EC18181" w14:textId="77777777">
        <w:tc>
          <w:tcPr>
            <w:tcW w:w="7667" w:type="dxa"/>
            <w:tcBorders>
              <w:top w:val="single" w:sz="4" w:space="0" w:color="CCCCCC"/>
              <w:left w:val="single" w:sz="4" w:space="0" w:color="CCCCCC"/>
              <w:bottom w:val="single" w:sz="4" w:space="0" w:color="CCCCCC"/>
              <w:right w:val="single" w:sz="4" w:space="0" w:color="CCCCCC"/>
            </w:tcBorders>
            <w:shd w:val="clear" w:color="auto" w:fill="2B0A3D"/>
            <w:tcMar>
              <w:top w:w="55" w:type="dxa"/>
              <w:left w:w="100" w:type="dxa"/>
              <w:bottom w:w="55" w:type="dxa"/>
              <w:right w:w="100" w:type="dxa"/>
            </w:tcMar>
            <w:vAlign w:val="center"/>
          </w:tcPr>
          <w:p w14:paraId="4EC1817F" w14:textId="77777777" w:rsidR="002F19C2" w:rsidRDefault="00317734" w:rsidP="00BB0B16">
            <w:pPr>
              <w:jc w:val="center"/>
            </w:pPr>
            <w:r>
              <w:rPr>
                <w:b/>
                <w:bCs/>
                <w:color w:val="FFFFFF"/>
                <w:sz w:val="18"/>
                <w:szCs w:val="18"/>
              </w:rPr>
              <w:t xml:space="preserve">Critère / sous-critère</w:t>
            </w:r>
          </w:p>
        </w:tc>
        <w:tc>
          <w:tcPr>
            <w:tcW w:w="1683" w:type="dxa"/>
            <w:tcBorders>
              <w:top w:val="single" w:sz="4" w:space="0" w:color="CCCCCC"/>
              <w:left w:val="single" w:sz="4" w:space="0" w:color="CCCCCC"/>
              <w:bottom w:val="single" w:sz="4" w:space="0" w:color="CCCCCC"/>
              <w:right w:val="single" w:sz="4" w:space="0" w:color="CCCCCC"/>
            </w:tcBorders>
            <w:shd w:val="clear" w:color="auto" w:fill="2B0A3D"/>
            <w:tcMar>
              <w:top w:w="55" w:type="dxa"/>
              <w:left w:w="100" w:type="dxa"/>
              <w:bottom w:w="55" w:type="dxa"/>
              <w:right w:w="100" w:type="dxa"/>
            </w:tcMar>
            <w:vAlign w:val="center"/>
          </w:tcPr>
          <w:p w14:paraId="4EC18180" w14:textId="77777777" w:rsidR="002F19C2" w:rsidRDefault="00317734" w:rsidP="00BB0B16">
            <w:pPr>
              <w:jc w:val="center"/>
            </w:pPr>
            <w:r>
              <w:rPr>
                <w:b/>
                <w:bCs/>
                <w:color w:val="FFFFFF"/>
                <w:sz w:val="18"/>
                <w:szCs w:val="18"/>
              </w:rPr>
              <w:t xml:space="preserve">Pondération</w:t>
            </w:r>
          </w:p>
        </w:tc>
      </w:tr>
      <w:tr w:rsidR="002F19C2" w14:paraId="4EC18184" w14:textId="77777777">
        <w:tc>
          <w:tcPr>
            <w:tcW w:w="7667" w:type="dxa"/>
            <w:tcBorders>
              <w:top w:val="single" w:sz="4" w:space="0" w:color="CCCCCC"/>
              <w:left w:val="single" w:sz="4" w:space="0" w:color="CCCCCC"/>
              <w:bottom w:val="single" w:sz="4" w:space="0" w:color="CCCCCC"/>
              <w:right w:val="single" w:sz="4" w:space="0" w:color="CCCCCC"/>
            </w:tcBorders>
            <w:tcMar>
              <w:top w:w="55" w:type="dxa"/>
              <w:left w:w="100" w:type="dxa"/>
              <w:bottom w:w="55" w:type="dxa"/>
              <w:right w:w="100" w:type="dxa"/>
            </w:tcMar>
            <w:vAlign w:val="center"/>
          </w:tcPr>
          <w:p w14:paraId="4EC18182" w14:textId="77777777" w:rsidR="002F19C2" w:rsidRDefault="00317734">
            <w:pPr/>
            <w:r>
              <w:rPr>
                <w:b/>
                <w:bCs/>
                <w:sz w:val="18"/>
                <w:szCs w:val="18"/>
              </w:rPr>
              <w:t xml:space="preserve">VALEUR TECHNIQUE</w:t>
            </w:r>
          </w:p>
        </w:tc>
        <w:tc>
          <w:tcPr>
            <w:tcW w:w="1683" w:type="dxa"/>
            <w:tcBorders>
              <w:top w:val="single" w:sz="4" w:space="0" w:color="CCCCCC"/>
              <w:left w:val="single" w:sz="4" w:space="0" w:color="CCCCCC"/>
              <w:bottom w:val="single" w:sz="4" w:space="0" w:color="CCCCCC"/>
              <w:right w:val="single" w:sz="4" w:space="0" w:color="CCCCCC"/>
            </w:tcBorders>
            <w:tcMar>
              <w:top w:w="55" w:type="dxa"/>
              <w:left w:w="100" w:type="dxa"/>
              <w:bottom w:w="55" w:type="dxa"/>
              <w:right w:w="100" w:type="dxa"/>
            </w:tcMar>
            <w:vAlign w:val="center"/>
          </w:tcPr>
          <w:p w14:paraId="4EC18183" w14:textId="77777777" w:rsidR="002F19C2" w:rsidRDefault="00317734">
            <w:pPr>
              <w:jc w:val="center"/>
            </w:pPr>
            <w:r>
              <w:rPr>
                <w:b/>
                <w:bCs/>
                <w:sz w:val="18"/>
                <w:szCs w:val="18"/>
              </w:rPr>
              <w:t xml:space="preserve">65 %</w:t>
            </w:r>
          </w:p>
        </w:tc>
      </w:tr>
      <w:tr w:rsidR="002F19C2" w14:paraId="4EC18184" w14:textId="77777777">
        <w:tc>
          <w:tcPr>
            <w:tcW w:w="7667" w:type="dxa"/>
            <w:tcBorders>
              <w:top w:val="single" w:sz="4" w:space="0" w:color="CCCCCC"/>
              <w:left w:val="single" w:sz="4" w:space="0" w:color="CCCCCC"/>
              <w:bottom w:val="single" w:sz="4" w:space="0" w:color="CCCCCC"/>
              <w:right w:val="single" w:sz="4" w:space="0" w:color="CCCCCC"/>
            </w:tcBorders>
            <w:tcMar>
              <w:top w:w="55" w:type="dxa"/>
              <w:left w:w="100" w:type="dxa"/>
              <w:bottom w:w="55" w:type="dxa"/>
              <w:right w:w="100" w:type="dxa"/>
            </w:tcMar>
            <w:vAlign w:val="center"/>
          </w:tcPr>
          <w:p w14:paraId="4EC18182" w14:textId="77777777" w:rsidR="002F19C2" w:rsidRDefault="00317734">
            <w:pPr/>
            <w:r>
              <w:rPr>
                <w:sz w:val="18"/>
                <w:szCs w:val="18"/>
              </w:rPr>
              <w:t xml:space="preserve">1. Méthode d'écoute, association des équipes et conduite du changement : dispositif d'ateliers et d'entretiens, continuité des participants, préparation de l'adhésion, plan d'accompagnement et communication interne</w:t>
            </w:r>
          </w:p>
        </w:tc>
        <w:tc>
          <w:tcPr>
            <w:tcW w:w="1683" w:type="dxa"/>
            <w:tcBorders>
              <w:top w:val="single" w:sz="4" w:space="0" w:color="CCCCCC"/>
              <w:left w:val="single" w:sz="4" w:space="0" w:color="CCCCCC"/>
              <w:bottom w:val="single" w:sz="4" w:space="0" w:color="CCCCCC"/>
              <w:right w:val="single" w:sz="4" w:space="0" w:color="CCCCCC"/>
            </w:tcBorders>
            <w:tcMar>
              <w:top w:w="55" w:type="dxa"/>
              <w:left w:w="100" w:type="dxa"/>
              <w:bottom w:w="55" w:type="dxa"/>
              <w:right w:w="100" w:type="dxa"/>
            </w:tcMar>
            <w:vAlign w:val="center"/>
          </w:tcPr>
          <w:p w14:paraId="4EC18183" w14:textId="77777777" w:rsidR="002F19C2" w:rsidRDefault="00317734">
            <w:pPr>
              <w:jc w:val="center"/>
            </w:pPr>
            <w:r>
              <w:rPr>
                <w:sz w:val="18"/>
                <w:szCs w:val="18"/>
              </w:rPr>
              <w:t xml:space="preserve">15 %</w:t>
            </w:r>
          </w:p>
        </w:tc>
      </w:tr>
      <w:tr w:rsidR="002F19C2" w14:paraId="4EC18184" w14:textId="77777777">
        <w:tc>
          <w:tcPr>
            <w:tcW w:w="7667" w:type="dxa"/>
            <w:tcBorders>
              <w:top w:val="single" w:sz="4" w:space="0" w:color="CCCCCC"/>
              <w:left w:val="single" w:sz="4" w:space="0" w:color="CCCCCC"/>
              <w:bottom w:val="single" w:sz="4" w:space="0" w:color="CCCCCC"/>
              <w:right w:val="single" w:sz="4" w:space="0" w:color="CCCCCC"/>
            </w:tcBorders>
            <w:tcMar>
              <w:top w:w="55" w:type="dxa"/>
              <w:left w:w="100" w:type="dxa"/>
              <w:bottom w:w="55" w:type="dxa"/>
              <w:right w:w="100" w:type="dxa"/>
            </w:tcMar>
            <w:vAlign w:val="center"/>
          </w:tcPr>
          <w:p w14:paraId="4EC18182" w14:textId="77777777" w:rsidR="002F19C2" w:rsidRDefault="00317734">
            <w:pPr/>
            <w:r>
              <w:rPr>
                <w:sz w:val="18"/>
                <w:szCs w:val="18"/>
              </w:rPr>
              <w:t xml:space="preserve">2. Démarche données, conformité et urbanisation : cartographie des données, corpus RGPD, archivage numérique, plan d'urbanisme du SI cible, stratégie de référentiels, benchmark des outils, construction de la feuille de route chiffrée par chantier, en prenant en compte la stratégie de calendrier ainsi que les prérequis et les impacts humains et organisationnels des chantiers</w:t>
            </w:r>
          </w:p>
        </w:tc>
        <w:tc>
          <w:tcPr>
            <w:tcW w:w="1683" w:type="dxa"/>
            <w:tcBorders>
              <w:top w:val="single" w:sz="4" w:space="0" w:color="CCCCCC"/>
              <w:left w:val="single" w:sz="4" w:space="0" w:color="CCCCCC"/>
              <w:bottom w:val="single" w:sz="4" w:space="0" w:color="CCCCCC"/>
              <w:right w:val="single" w:sz="4" w:space="0" w:color="CCCCCC"/>
            </w:tcBorders>
            <w:tcMar>
              <w:top w:w="55" w:type="dxa"/>
              <w:left w:w="100" w:type="dxa"/>
              <w:bottom w:w="55" w:type="dxa"/>
              <w:right w:w="100" w:type="dxa"/>
            </w:tcMar>
            <w:vAlign w:val="center"/>
          </w:tcPr>
          <w:p w14:paraId="4EC18183" w14:textId="77777777" w:rsidR="002F19C2" w:rsidRDefault="00317734">
            <w:pPr>
              <w:jc w:val="center"/>
            </w:pPr>
            <w:r>
              <w:rPr>
                <w:sz w:val="18"/>
                <w:szCs w:val="18"/>
              </w:rPr>
              <w:t xml:space="preserve">20 %</w:t>
            </w:r>
          </w:p>
        </w:tc>
      </w:tr>
      <w:tr w:rsidR="002F19C2" w14:paraId="4EC18184" w14:textId="77777777">
        <w:tc>
          <w:tcPr>
            <w:tcW w:w="7667" w:type="dxa"/>
            <w:tcBorders>
              <w:top w:val="single" w:sz="4" w:space="0" w:color="CCCCCC"/>
              <w:left w:val="single" w:sz="4" w:space="0" w:color="CCCCCC"/>
              <w:bottom w:val="single" w:sz="4" w:space="0" w:color="CCCCCC"/>
              <w:right w:val="single" w:sz="4" w:space="0" w:color="CCCCCC"/>
            </w:tcBorders>
            <w:tcMar>
              <w:top w:w="55" w:type="dxa"/>
              <w:left w:w="100" w:type="dxa"/>
              <w:bottom w:w="55" w:type="dxa"/>
              <w:right w:w="100" w:type="dxa"/>
            </w:tcMar>
            <w:vAlign w:val="center"/>
          </w:tcPr>
          <w:p w14:paraId="4EC18182" w14:textId="77777777" w:rsidR="002F19C2" w:rsidRDefault="00317734">
            <w:pPr/>
            <w:r>
              <w:rPr>
                <w:sz w:val="18"/>
                <w:szCs w:val="18"/>
              </w:rPr>
              <w:t xml:space="preserve">3. Qualité et séniorité de l'équipe réellement affectée : CV nominatifs, expérience de missions comparables, taux d'affectation et présence du chef de mission</w:t>
            </w:r>
          </w:p>
        </w:tc>
        <w:tc>
          <w:tcPr>
            <w:tcW w:w="1683" w:type="dxa"/>
            <w:tcBorders>
              <w:top w:val="single" w:sz="4" w:space="0" w:color="CCCCCC"/>
              <w:left w:val="single" w:sz="4" w:space="0" w:color="CCCCCC"/>
              <w:bottom w:val="single" w:sz="4" w:space="0" w:color="CCCCCC"/>
              <w:right w:val="single" w:sz="4" w:space="0" w:color="CCCCCC"/>
            </w:tcBorders>
            <w:tcMar>
              <w:top w:w="55" w:type="dxa"/>
              <w:left w:w="100" w:type="dxa"/>
              <w:bottom w:w="55" w:type="dxa"/>
              <w:right w:w="100" w:type="dxa"/>
            </w:tcMar>
            <w:vAlign w:val="center"/>
          </w:tcPr>
          <w:p w14:paraId="4EC18183" w14:textId="77777777" w:rsidR="002F19C2" w:rsidRDefault="00317734">
            <w:pPr>
              <w:jc w:val="center"/>
            </w:pPr>
            <w:r>
              <w:rPr>
                <w:sz w:val="18"/>
                <w:szCs w:val="18"/>
              </w:rPr>
              <w:t xml:space="preserve">10 %</w:t>
            </w:r>
          </w:p>
        </w:tc>
      </w:tr>
      <w:tr w:rsidR="002F19C2" w14:paraId="4EC18184" w14:textId="77777777">
        <w:tc>
          <w:tcPr>
            <w:tcW w:w="7667" w:type="dxa"/>
            <w:tcBorders>
              <w:top w:val="single" w:sz="4" w:space="0" w:color="CCCCCC"/>
              <w:left w:val="single" w:sz="4" w:space="0" w:color="CCCCCC"/>
              <w:bottom w:val="single" w:sz="4" w:space="0" w:color="CCCCCC"/>
              <w:right w:val="single" w:sz="4" w:space="0" w:color="CCCCCC"/>
            </w:tcBorders>
            <w:tcMar>
              <w:top w:w="55" w:type="dxa"/>
              <w:left w:w="100" w:type="dxa"/>
              <w:bottom w:w="55" w:type="dxa"/>
              <w:right w:w="100" w:type="dxa"/>
            </w:tcMar>
            <w:vAlign w:val="center"/>
          </w:tcPr>
          <w:p w14:paraId="4EC18182" w14:textId="77777777" w:rsidR="002F19C2" w:rsidRDefault="00317734">
            <w:pPr/>
            <w:r>
              <w:rPr>
                <w:sz w:val="18"/>
                <w:szCs w:val="18"/>
              </w:rPr>
              <w:t xml:space="preserve">4. Compréhension du contexte, capitalisation sur l'existant et gains rapides : lecture des enjeux de l'École, exploitation du corpus annexé, démarche d'inventaire, de sélection et d'étude détaillée des processus, dispositif de gains rapides</w:t>
            </w:r>
          </w:p>
        </w:tc>
        <w:tc>
          <w:tcPr>
            <w:tcW w:w="1683" w:type="dxa"/>
            <w:tcBorders>
              <w:top w:val="single" w:sz="4" w:space="0" w:color="CCCCCC"/>
              <w:left w:val="single" w:sz="4" w:space="0" w:color="CCCCCC"/>
              <w:bottom w:val="single" w:sz="4" w:space="0" w:color="CCCCCC"/>
              <w:right w:val="single" w:sz="4" w:space="0" w:color="CCCCCC"/>
            </w:tcBorders>
            <w:tcMar>
              <w:top w:w="55" w:type="dxa"/>
              <w:left w:w="100" w:type="dxa"/>
              <w:bottom w:w="55" w:type="dxa"/>
              <w:right w:w="100" w:type="dxa"/>
            </w:tcMar>
            <w:vAlign w:val="center"/>
          </w:tcPr>
          <w:p w14:paraId="4EC18183" w14:textId="77777777" w:rsidR="002F19C2" w:rsidRDefault="00317734">
            <w:pPr>
              <w:jc w:val="center"/>
            </w:pPr>
            <w:r>
              <w:rPr>
                <w:sz w:val="18"/>
                <w:szCs w:val="18"/>
              </w:rPr>
              <w:t xml:space="preserve">10 %</w:t>
            </w:r>
          </w:p>
        </w:tc>
      </w:tr>
      <w:tr w:rsidR="002F19C2" w14:paraId="4EC18184" w14:textId="77777777">
        <w:tc>
          <w:tcPr>
            <w:tcW w:w="7667" w:type="dxa"/>
            <w:tcBorders>
              <w:top w:val="single" w:sz="4" w:space="0" w:color="CCCCCC"/>
              <w:left w:val="single" w:sz="4" w:space="0" w:color="CCCCCC"/>
              <w:bottom w:val="single" w:sz="4" w:space="0" w:color="CCCCCC"/>
              <w:right w:val="single" w:sz="4" w:space="0" w:color="CCCCCC"/>
            </w:tcBorders>
            <w:tcMar>
              <w:top w:w="55" w:type="dxa"/>
              <w:left w:w="100" w:type="dxa"/>
              <w:bottom w:w="55" w:type="dxa"/>
              <w:right w:w="100" w:type="dxa"/>
            </w:tcMar>
            <w:vAlign w:val="center"/>
          </w:tcPr>
          <w:p w14:paraId="4EC18182" w14:textId="77777777" w:rsidR="002F19C2" w:rsidRDefault="00317734">
            <w:pPr/>
            <w:r>
              <w:rPr>
                <w:sz w:val="18"/>
                <w:szCs w:val="18"/>
              </w:rPr>
              <w:t xml:space="preserve">5. Organisation et rythme proposés : planning, charge et impact de la mission sur les équipes de l'École, périodes évitées, livrables</w:t>
            </w:r>
          </w:p>
        </w:tc>
        <w:tc>
          <w:tcPr>
            <w:tcW w:w="1683" w:type="dxa"/>
            <w:tcBorders>
              <w:top w:val="single" w:sz="4" w:space="0" w:color="CCCCCC"/>
              <w:left w:val="single" w:sz="4" w:space="0" w:color="CCCCCC"/>
              <w:bottom w:val="single" w:sz="4" w:space="0" w:color="CCCCCC"/>
              <w:right w:val="single" w:sz="4" w:space="0" w:color="CCCCCC"/>
            </w:tcBorders>
            <w:tcMar>
              <w:top w:w="55" w:type="dxa"/>
              <w:left w:w="100" w:type="dxa"/>
              <w:bottom w:w="55" w:type="dxa"/>
              <w:right w:w="100" w:type="dxa"/>
            </w:tcMar>
            <w:vAlign w:val="center"/>
          </w:tcPr>
          <w:p w14:paraId="4EC18183" w14:textId="77777777" w:rsidR="002F19C2" w:rsidRDefault="00317734">
            <w:pPr>
              <w:jc w:val="center"/>
            </w:pPr>
            <w:r>
              <w:rPr>
                <w:sz w:val="18"/>
                <w:szCs w:val="18"/>
              </w:rPr>
              <w:t xml:space="preserve">10 %</w:t>
            </w:r>
          </w:p>
        </w:tc>
      </w:tr>
      <w:tr w:rsidR="002F19C2" w14:paraId="4EC18184" w14:textId="77777777">
        <w:tc>
          <w:tcPr>
            <w:tcW w:w="7667" w:type="dxa"/>
            <w:tcBorders>
              <w:top w:val="single" w:sz="4" w:space="0" w:color="CCCCCC"/>
              <w:left w:val="single" w:sz="4" w:space="0" w:color="CCCCCC"/>
              <w:bottom w:val="single" w:sz="4" w:space="0" w:color="CCCCCC"/>
              <w:right w:val="single" w:sz="4" w:space="0" w:color="CCCCCC"/>
            </w:tcBorders>
            <w:tcMar>
              <w:top w:w="55" w:type="dxa"/>
              <w:left w:w="100" w:type="dxa"/>
              <w:bottom w:w="55" w:type="dxa"/>
              <w:right w:w="100" w:type="dxa"/>
            </w:tcMar>
            <w:vAlign w:val="center"/>
          </w:tcPr>
          <w:p w14:paraId="4EC18182" w14:textId="77777777" w:rsidR="002F19C2" w:rsidRDefault="00317734">
            <w:pPr/>
            <w:r>
              <w:rPr>
                <w:b/>
                <w:bCs/>
                <w:sz w:val="18"/>
                <w:szCs w:val="18"/>
              </w:rPr>
              <w:t xml:space="preserve">VALEUR ENVIRONNEMENTALE DE L'OFFRE : intégration de l'impact environnemental dans la trajectoire et dans les préconisations d'outils (sobriété, mutualisation, hébergement et durée de vie des solutions, écoconception des services numériques), mesures proposées pour limiter l'empreinte de la mission elle-même</w:t>
            </w:r>
          </w:p>
        </w:tc>
        <w:tc>
          <w:tcPr>
            <w:tcW w:w="1683" w:type="dxa"/>
            <w:tcBorders>
              <w:top w:val="single" w:sz="4" w:space="0" w:color="CCCCCC"/>
              <w:left w:val="single" w:sz="4" w:space="0" w:color="CCCCCC"/>
              <w:bottom w:val="single" w:sz="4" w:space="0" w:color="CCCCCC"/>
              <w:right w:val="single" w:sz="4" w:space="0" w:color="CCCCCC"/>
            </w:tcBorders>
            <w:tcMar>
              <w:top w:w="55" w:type="dxa"/>
              <w:left w:w="100" w:type="dxa"/>
              <w:bottom w:w="55" w:type="dxa"/>
              <w:right w:w="100" w:type="dxa"/>
            </w:tcMar>
            <w:vAlign w:val="center"/>
          </w:tcPr>
          <w:p w14:paraId="4EC18183" w14:textId="77777777" w:rsidR="002F19C2" w:rsidRDefault="00317734">
            <w:pPr>
              <w:jc w:val="center"/>
            </w:pPr>
            <w:r>
              <w:rPr>
                <w:b/>
                <w:bCs/>
                <w:sz w:val="18"/>
                <w:szCs w:val="18"/>
              </w:rPr>
              <w:t xml:space="preserve">5 %</w:t>
            </w:r>
          </w:p>
        </w:tc>
      </w:tr>
      <w:tr w:rsidR="002F19C2" w14:paraId="4EC18184" w14:textId="77777777">
        <w:tc>
          <w:tcPr>
            <w:tcW w:w="7667" w:type="dxa"/>
            <w:tcBorders>
              <w:top w:val="single" w:sz="4" w:space="0" w:color="CCCCCC"/>
              <w:left w:val="single" w:sz="4" w:space="0" w:color="CCCCCC"/>
              <w:bottom w:val="single" w:sz="4" w:space="0" w:color="CCCCCC"/>
              <w:right w:val="single" w:sz="4" w:space="0" w:color="CCCCCC"/>
            </w:tcBorders>
            <w:tcMar>
              <w:top w:w="55" w:type="dxa"/>
              <w:left w:w="100" w:type="dxa"/>
              <w:bottom w:w="55" w:type="dxa"/>
              <w:right w:w="100" w:type="dxa"/>
            </w:tcMar>
            <w:vAlign w:val="center"/>
          </w:tcPr>
          <w:p w14:paraId="4EC18182" w14:textId="77777777" w:rsidR="002F19C2" w:rsidRDefault="00317734">
            <w:pPr/>
            <w:r>
              <w:rPr>
                <w:b/>
                <w:bCs/>
                <w:sz w:val="18"/>
                <w:szCs w:val="18"/>
              </w:rPr>
              <w:t xml:space="preserve">PRIX : apprécié sur le montant total de la DPGF, sous le plafond publié</w:t>
            </w:r>
          </w:p>
        </w:tc>
        <w:tc>
          <w:tcPr>
            <w:tcW w:w="1683" w:type="dxa"/>
            <w:tcBorders>
              <w:top w:val="single" w:sz="4" w:space="0" w:color="CCCCCC"/>
              <w:left w:val="single" w:sz="4" w:space="0" w:color="CCCCCC"/>
              <w:bottom w:val="single" w:sz="4" w:space="0" w:color="CCCCCC"/>
              <w:right w:val="single" w:sz="4" w:space="0" w:color="CCCCCC"/>
            </w:tcBorders>
            <w:tcMar>
              <w:top w:w="55" w:type="dxa"/>
              <w:left w:w="100" w:type="dxa"/>
              <w:bottom w:w="55" w:type="dxa"/>
              <w:right w:w="100" w:type="dxa"/>
            </w:tcMar>
            <w:vAlign w:val="center"/>
          </w:tcPr>
          <w:p w14:paraId="4EC18183" w14:textId="77777777" w:rsidR="002F19C2" w:rsidRDefault="00317734">
            <w:pPr>
              <w:jc w:val="center"/>
            </w:pPr>
            <w:r>
              <w:rPr>
                <w:b/>
                <w:bCs/>
                <w:sz w:val="18"/>
                <w:szCs w:val="18"/>
              </w:rPr>
              <w:t xml:space="preserve">30 %</w:t>
            </w:r>
          </w:p>
        </w:tc>
      </w:tr>
    </w:tbl>
    <w:p w14:paraId="4EC18170" w14:textId="65D1D982" w:rsidR="002F19C2" w:rsidRDefault="00317734" w:rsidP="003D33C0">
      <w:pPr>
        <w:spacing w:after="75"/>
        <w:jc w:val="both"/>
      </w:pPr>
      <w:r>
        <w:rPr>
          <w:sz w:val="19"/>
        </w:rPr>
        <w:t xml:space="preserve">Note financière = 30 × (montant de l'offre la plus basse / montant de l'offre examinée), arrondie à deux décimales. L'offre la plus basse s'entend de la moins-disante parmi les offres régulières, acceptables et appropriées dont la note technique atteint 39 sur 65.</w:t>
      </w:r>
    </w:p>
    <w:p w14:paraId="4EC18170" w14:textId="65D1D982" w:rsidR="002F19C2" w:rsidRDefault="00317734" w:rsidP="003D33C0">
      <w:pPr>
        <w:spacing w:after="75"/>
        <w:jc w:val="both"/>
      </w:pPr>
      <w:r>
        <w:rPr>
          <w:sz w:val="19"/>
        </w:rPr>
        <w:t xml:space="preserve">Note technique : chaque sous-critère est noté de 0 à 5 puis pondéré, selon l'échelle suivante : 0 pour une absence de réponse ou une réponse sans rapport avec la demande, 1 pour une réponse très insuffisante, 2 pour une réponse partielle ou des engagements imprécis, 3 pour une réponse conforme aux attentes du CCP, 4 pour une réponse conforme et précise apportant des garanties supérieures à ces attentes, 5 pour une réponse complète et engagée démontrant une valeur ajoutée pour l'École. La note de chaque sous-critère est une appréciation d'ensemble des rubriques du cadre de réponse qui s'y rattachent. Les points obtenus sont égaux à la note sur 5 multipliée par la pondération puis divisée par 5 : une note de 4 sur un sous-critère pondéré à 10 % rapporte ainsi 8 points.</w:t>
      </w:r>
    </w:p>
    <w:p w14:paraId="4EC18170" w14:textId="65D1D982" w:rsidR="002F19C2" w:rsidRDefault="00317734" w:rsidP="003D33C0">
      <w:pPr>
        <w:spacing w:after="75"/>
        <w:jc w:val="both"/>
      </w:pPr>
      <w:r>
        <w:rPr>
          <w:sz w:val="19"/>
        </w:rPr>
        <w:t xml:space="preserve">Note environnementale : le critère de valeur environnementale de l'offre est noté de 0 à 5 selon la même échelle, à partir des rubriques 6.1 et 6.2 du cadre de réponse technique, puis pondéré à 5 %. Il est apprécié au regard des spécifications et des conditions d'exécution de l'article 7 du CCP, qui constituent le niveau attendu : une offre qui se borne à s'y conformer obtient 3 sur 5, les notes supérieures récompensant des engagements précis et vérifiables allant au-delà. Cette note n'entre pas dans la note technique ni dans le seuil ci-dessous.</w:t>
      </w:r>
    </w:p>
    <w:p w14:paraId="4EC18170" w14:textId="65D1D982" w:rsidR="002F19C2" w:rsidRDefault="00317734" w:rsidP="003D33C0">
      <w:pPr>
        <w:spacing w:after="75"/>
        <w:jc w:val="both"/>
      </w:pPr>
      <w:r>
        <w:rPr>
          <w:sz w:val="19"/>
        </w:rPr>
        <w:t xml:space="preserve">Une offre dont la note technique est inférieure à 39 sur 65, lors de la notation des offres initiales comme lors de la notation définitive, est éliminée et n'est pas classée. En cas d'égalité, le candidat le mieux noté sur la valeur technique est classé premier, puis, si l'égalité persiste, le mieux noté sur le sous-critère 1. Les offres anormalement basses sont détectées et traitées conformément aux articles L2152-5, L2152-6 et R2152-3 à R2152-5 du Code de la commande publique.</w:t>
      </w:r>
    </w:p>
    <w:p w14:paraId="4EC18152" w14:textId="77777777" w:rsidR="002F19C2" w:rsidRDefault="00317734">
      <w:pPr>
        <w:pBdr>
          <w:bottom w:val="single" w:sz="8" w:space="4" w:color="C8871E"/>
        </w:pBdr>
        <w:spacing w:before="260" w:after="100"/>
      </w:pPr>
      <w:r>
        <w:rPr>
          <w:b/>
          <w:bCs/>
          <w:color w:val="2B0A3D"/>
          <w:sz w:val="24"/>
          <w:szCs w:val="24"/>
        </w:rPr>
        <w:t xml:space="preserve">7. Négociation</w:t>
      </w:r>
    </w:p>
    <w:p w14:paraId="4EC18170" w14:textId="65D1D982" w:rsidR="002F19C2" w:rsidRDefault="00317734" w:rsidP="003D33C0">
      <w:pPr>
        <w:spacing w:after="75"/>
        <w:jc w:val="both"/>
      </w:pPr>
      <w:r>
        <w:rPr>
          <w:sz w:val="19"/>
        </w:rPr>
        <w:t xml:space="preserve">Après une première analyse et notation des offres initiales, le pouvoir adjudicateur peut engager une négociation avec les candidats dont les offres sont les mieux classées, au nombre de trois au plus. En cas d'égalité au troisième rang, les candidats ex aequo sont tous invités. Les offres irrégulières ou inacceptables, notamment celles dont le montant excède le plafond, ne sont pas admises à la négociation.</w:t>
      </w:r>
    </w:p>
    <w:p w14:paraId="4EC18170" w14:textId="65D1D982" w:rsidR="002F19C2" w:rsidRDefault="00317734" w:rsidP="003D33C0">
      <w:pPr>
        <w:spacing w:after="75"/>
        <w:jc w:val="both"/>
      </w:pPr>
      <w:r>
        <w:rPr>
          <w:sz w:val="19"/>
        </w:rPr>
        <w:t xml:space="preserve">Les candidats retenus sont invités à une audition, en présentiel ou en visioconférence, au cours de laquelle ils présentent leur offre et l'équipe proposée. L'audition ne constitue pas un critère de jugement. Les précisions apportées par l'École au cours des auditions sont confirmées par écrit à l'ensemble des candidats invités. Ceux-ci remettent ensuite une offre ajustée, qui peut porter sur le contenu technique comme sur le prix, sans modifier l'objet du marché ni les exigences du CCP. La notation définitive porte sur les seules offres ajustées, selon les mêmes critères et pondérations, la note financière étant calculée à partir de l'offre ajustée la plus basse. Un candidat invité qui ne remet pas d'offre ajustée dans le délai est réputé maintenir son offre initiale, qui constitue alors son offre définitive. Les offres ajustées restent valables jusqu'au terme du délai de validité fixé à l'article 2. Les offres des candidats qui ne sont pas invités à la négociation ne sont pas retenues.</w:t>
      </w:r>
    </w:p>
    <w:p w14:paraId="4EC18170" w14:textId="65D1D982" w:rsidR="002F19C2" w:rsidRDefault="00317734" w:rsidP="003D33C0">
      <w:pPr>
        <w:spacing w:after="75"/>
        <w:jc w:val="both"/>
      </w:pPr>
      <w:r>
        <w:rPr>
          <w:sz w:val="19"/>
        </w:rPr>
        <w:t xml:space="preserve">La négociation est conduite dans le respect de l'égalité de traitement des candidats et de la confidentialité de leurs offres. Le pouvoir adjudicateur se réserve la possibilité d'attribuer le marché sur la base des offres initiales, sans négociation. Les candidats sont donc invités à remettre d'emblée leur meilleure offre.</w:t>
      </w:r>
    </w:p>
    <w:p w14:paraId="4EC18152" w14:textId="77777777" w:rsidR="002F19C2" w:rsidRDefault="00317734">
      <w:pPr>
        <w:pBdr>
          <w:bottom w:val="single" w:sz="8" w:space="4" w:color="C8871E"/>
        </w:pBdr>
        <w:spacing w:before="260" w:after="100"/>
      </w:pPr>
      <w:r>
        <w:rPr>
          <w:b/>
          <w:bCs/>
          <w:color w:val="2B0A3D"/>
          <w:sz w:val="24"/>
          <w:szCs w:val="24"/>
        </w:rPr>
        <w:t xml:space="preserve">8. Attribution</w:t>
      </w:r>
    </w:p>
    <w:p w14:paraId="4EC18170" w14:textId="65D1D982" w:rsidR="002F19C2" w:rsidRDefault="00317734" w:rsidP="003D33C0">
      <w:pPr>
        <w:spacing w:after="75"/>
        <w:jc w:val="both"/>
      </w:pPr>
      <w:r>
        <w:rPr>
          <w:sz w:val="19"/>
        </w:rPr>
        <w:t xml:space="preserve">Le candidat dont l'offre est retenue produit, dans un délai de huit jours à compter de la demande de l'École, les pièces prévues aux articles R2143-6 à R2143-10 du Code de la commande publique ainsi qu'une attestation d'assurance de responsabilité civile professionnelle en cours de validité. À défaut, sa candidature est déclarée irrecevable et il est éliminé, le candidat classé immédiatement après étant sollicité dans les mêmes conditions (article R2144-7).</w:t>
      </w:r>
    </w:p>
    <w:p w14:paraId="4EC18152" w14:textId="77777777" w:rsidR="002F19C2" w:rsidRDefault="00317734">
      <w:pPr>
        <w:pBdr>
          <w:bottom w:val="single" w:sz="8" w:space="4" w:color="C8871E"/>
        </w:pBdr>
        <w:spacing w:before="260" w:after="100"/>
      </w:pPr>
      <w:r>
        <w:rPr>
          <w:b/>
          <w:bCs/>
          <w:color w:val="2B0A3D"/>
          <w:sz w:val="24"/>
          <w:szCs w:val="24"/>
        </w:rPr>
        <w:t xml:space="preserve">9. Renseignements complémentaires</w:t>
      </w:r>
    </w:p>
    <w:p w14:paraId="4EC18170" w14:textId="65D1D982" w:rsidR="002F19C2" w:rsidRDefault="00317734" w:rsidP="003D33C0">
      <w:pPr>
        <w:spacing w:after="75"/>
        <w:jc w:val="both"/>
      </w:pPr>
      <w:r>
        <w:rPr>
          <w:sz w:val="19"/>
        </w:rPr>
        <w:t xml:space="preserve">Toute demande de renseignement est adressée via PLACE au plus tard à la date fixée à l'article 2. Aucun renseignement n'est délivré par téléphone.</w:t>
      </w:r>
    </w:p>
    <w:sectPr w:rsidR="002F19C2">
      <w:headerReference w:type="default" r:id="rId14"/>
      <w:footerReference w:type="default" r:id="rId15"/>
      <w:pgSz w:w="11906" w:h="16838"/>
      <w:pgMar w:top="850" w:right="850" w:bottom="850" w:left="85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EFA3FB" w14:textId="77777777" w:rsidR="00A52604" w:rsidRDefault="00A52604">
      <w:r>
        <w:separator/>
      </w:r>
    </w:p>
  </w:endnote>
  <w:endnote w:type="continuationSeparator" w:id="0">
    <w:p w14:paraId="5AB8EBC8" w14:textId="77777777" w:rsidR="00A52604" w:rsidRDefault="00A526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1819A" w14:textId="5AC10E9D" w:rsidR="002F19C2" w:rsidRDefault="00317734">
    <w:pPr>
      <w:jc w:val="center"/>
    </w:pPr>
    <w:r>
      <w:rPr>
        <w:color w:val="666666"/>
        <w:sz w:val="15"/>
        <w:szCs w:val="15"/>
      </w:rPr>
      <w:t xml:space="preserve">La Fémis </w:t>
    </w:r>
    <w:r w:rsidR="00FF1BFD">
      <w:rPr>
        <w:color w:val="666666"/>
        <w:sz w:val="15"/>
        <w:szCs w:val="15"/>
      </w:rPr>
      <w:t>_</w:t>
    </w:r>
    <w:r>
      <w:rPr>
        <w:color w:val="666666"/>
        <w:sz w:val="15"/>
        <w:szCs w:val="15"/>
      </w:rPr>
      <w:t xml:space="preserve"> 6 rue Francoeur, 75018 Paris </w:t>
    </w:r>
    <w:r w:rsidR="00FF1BFD">
      <w:rPr>
        <w:color w:val="666666"/>
        <w:sz w:val="15"/>
        <w:szCs w:val="15"/>
      </w:rPr>
      <w:t>_</w:t>
    </w:r>
    <w:r>
      <w:rPr>
        <w:color w:val="666666"/>
        <w:sz w:val="15"/>
        <w:szCs w:val="15"/>
      </w:rPr>
      <w:t xml:space="preserve"> Marché M2026-11 </w:t>
    </w:r>
    <w:r w:rsidR="00FF1BFD">
      <w:rPr>
        <w:color w:val="666666"/>
        <w:sz w:val="15"/>
        <w:szCs w:val="15"/>
      </w:rPr>
      <w:t>_</w:t>
    </w:r>
    <w:r>
      <w:rPr>
        <w:color w:val="666666"/>
        <w:sz w:val="15"/>
        <w:szCs w:val="15"/>
      </w:rPr>
      <w:t xml:space="preserve"> page </w:t>
    </w:r>
    <w:r>
      <w:rPr>
        <w:color w:val="666666"/>
        <w:sz w:val="15"/>
        <w:szCs w:val="15"/>
      </w:rPr>
      <w:fldChar w:fldCharType="begin"/>
    </w:r>
    <w:r>
      <w:rPr>
        <w:color w:val="666666"/>
        <w:sz w:val="15"/>
        <w:szCs w:val="15"/>
      </w:rPr>
      <w:instrText>PAGE</w:instrText>
    </w:r>
    <w:r>
      <w:rPr>
        <w:color w:val="666666"/>
        <w:sz w:val="15"/>
        <w:szCs w:val="15"/>
      </w:rPr>
      <w:fldChar w:fldCharType="separate"/>
    </w:r>
    <w:r w:rsidR="00C215A1">
      <w:rPr>
        <w:noProof/>
        <w:color w:val="666666"/>
        <w:sz w:val="15"/>
        <w:szCs w:val="15"/>
      </w:rPr>
      <w:t>1</w:t>
    </w:r>
    <w:r>
      <w:rPr>
        <w:color w:val="666666"/>
        <w:sz w:val="15"/>
        <w:szCs w:val="15"/>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74E828" w14:textId="77777777" w:rsidR="00A52604" w:rsidRDefault="00A52604">
      <w:r>
        <w:separator/>
      </w:r>
    </w:p>
  </w:footnote>
  <w:footnote w:type="continuationSeparator" w:id="0">
    <w:p w14:paraId="55584DBD" w14:textId="77777777" w:rsidR="00A52604" w:rsidRDefault="00A5260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18199" w14:textId="49C1C03F" w:rsidR="002F19C2" w:rsidRDefault="00317734">
    <w:pPr>
      <w:jc w:val="right"/>
    </w:pPr>
    <w:r>
      <w:rPr>
        <w:color w:val="666666"/>
        <w:sz w:val="16"/>
        <w:szCs w:val="16"/>
      </w:rPr>
      <w:t xml:space="preserve">Marché M2026-11 _ RC _ V6 28102026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089081D"/>
    <w:multiLevelType w:val="hybridMultilevel"/>
    <w:tmpl w:val="BBD43B7E"/>
    <w:lvl w:ilvl="0" w:tplc="BA26B2D6">
      <w:start w:val="1"/>
      <w:numFmt w:val="bullet"/>
      <w:lvlText w:val="●"/>
      <w:lvlJc w:val="left"/>
      <w:pPr>
        <w:ind w:left="720" w:hanging="360"/>
      </w:pPr>
    </w:lvl>
    <w:lvl w:ilvl="1" w:tplc="64E883D2">
      <w:start w:val="1"/>
      <w:numFmt w:val="bullet"/>
      <w:lvlText w:val="○"/>
      <w:lvlJc w:val="left"/>
      <w:pPr>
        <w:ind w:left="1440" w:hanging="360"/>
      </w:pPr>
    </w:lvl>
    <w:lvl w:ilvl="2" w:tplc="71A2B4E2">
      <w:start w:val="1"/>
      <w:numFmt w:val="bullet"/>
      <w:lvlText w:val="■"/>
      <w:lvlJc w:val="left"/>
      <w:pPr>
        <w:ind w:left="2160" w:hanging="360"/>
      </w:pPr>
    </w:lvl>
    <w:lvl w:ilvl="3" w:tplc="AEB6288A">
      <w:start w:val="1"/>
      <w:numFmt w:val="bullet"/>
      <w:lvlText w:val="●"/>
      <w:lvlJc w:val="left"/>
      <w:pPr>
        <w:ind w:left="2880" w:hanging="360"/>
      </w:pPr>
    </w:lvl>
    <w:lvl w:ilvl="4" w:tplc="AA202544">
      <w:start w:val="1"/>
      <w:numFmt w:val="bullet"/>
      <w:lvlText w:val="○"/>
      <w:lvlJc w:val="left"/>
      <w:pPr>
        <w:ind w:left="3600" w:hanging="360"/>
      </w:pPr>
    </w:lvl>
    <w:lvl w:ilvl="5" w:tplc="215AF55C">
      <w:start w:val="1"/>
      <w:numFmt w:val="bullet"/>
      <w:lvlText w:val="■"/>
      <w:lvlJc w:val="left"/>
      <w:pPr>
        <w:ind w:left="4320" w:hanging="360"/>
      </w:pPr>
    </w:lvl>
    <w:lvl w:ilvl="6" w:tplc="58FAFA20">
      <w:start w:val="1"/>
      <w:numFmt w:val="bullet"/>
      <w:lvlText w:val="●"/>
      <w:lvlJc w:val="left"/>
      <w:pPr>
        <w:ind w:left="5040" w:hanging="360"/>
      </w:pPr>
    </w:lvl>
    <w:lvl w:ilvl="7" w:tplc="3B7459AC">
      <w:start w:val="1"/>
      <w:numFmt w:val="bullet"/>
      <w:lvlText w:val="●"/>
      <w:lvlJc w:val="left"/>
      <w:pPr>
        <w:ind w:left="5760" w:hanging="360"/>
      </w:pPr>
    </w:lvl>
    <w:lvl w:ilvl="8" w:tplc="925A1744">
      <w:start w:val="1"/>
      <w:numFmt w:val="bullet"/>
      <w:lvlText w:val="●"/>
      <w:lvlJc w:val="left"/>
      <w:pPr>
        <w:ind w:left="6480" w:hanging="360"/>
      </w:pPr>
    </w:lvl>
  </w:abstractNum>
  <w:abstractNum w:abstractNumId="1" w15:restartNumberingAfterBreak="0">
    <w:nsid w:val="7BAE12E4"/>
    <w:multiLevelType w:val="hybridMultilevel"/>
    <w:tmpl w:val="C6960BE2"/>
    <w:lvl w:ilvl="0" w:tplc="5CAA4CB6">
      <w:start w:val="1"/>
      <w:numFmt w:val="bullet"/>
      <w:lvlText w:val=""/>
      <w:lvlJc w:val="left"/>
      <w:pPr>
        <w:ind w:left="720" w:hanging="360"/>
      </w:pPr>
      <w:rPr>
        <w:rFonts w:ascii="Symbol" w:hAnsi="Symbol"/>
      </w:rPr>
    </w:lvl>
    <w:lvl w:ilvl="1" w:tplc="5036B088">
      <w:start w:val="1"/>
      <w:numFmt w:val="bullet"/>
      <w:lvlText w:val=""/>
      <w:lvlJc w:val="left"/>
      <w:pPr>
        <w:ind w:left="720" w:hanging="360"/>
      </w:pPr>
      <w:rPr>
        <w:rFonts w:ascii="Symbol" w:hAnsi="Symbol"/>
      </w:rPr>
    </w:lvl>
    <w:lvl w:ilvl="2" w:tplc="D76604D0">
      <w:start w:val="1"/>
      <w:numFmt w:val="bullet"/>
      <w:lvlText w:val=""/>
      <w:lvlJc w:val="left"/>
      <w:pPr>
        <w:ind w:left="720" w:hanging="360"/>
      </w:pPr>
      <w:rPr>
        <w:rFonts w:ascii="Symbol" w:hAnsi="Symbol"/>
      </w:rPr>
    </w:lvl>
    <w:lvl w:ilvl="3" w:tplc="F710C606">
      <w:start w:val="1"/>
      <w:numFmt w:val="bullet"/>
      <w:lvlText w:val=""/>
      <w:lvlJc w:val="left"/>
      <w:pPr>
        <w:ind w:left="720" w:hanging="360"/>
      </w:pPr>
      <w:rPr>
        <w:rFonts w:ascii="Symbol" w:hAnsi="Symbol"/>
      </w:rPr>
    </w:lvl>
    <w:lvl w:ilvl="4" w:tplc="7C147434">
      <w:start w:val="1"/>
      <w:numFmt w:val="bullet"/>
      <w:lvlText w:val=""/>
      <w:lvlJc w:val="left"/>
      <w:pPr>
        <w:ind w:left="720" w:hanging="360"/>
      </w:pPr>
      <w:rPr>
        <w:rFonts w:ascii="Symbol" w:hAnsi="Symbol"/>
      </w:rPr>
    </w:lvl>
    <w:lvl w:ilvl="5" w:tplc="67D8471A">
      <w:start w:val="1"/>
      <w:numFmt w:val="bullet"/>
      <w:lvlText w:val=""/>
      <w:lvlJc w:val="left"/>
      <w:pPr>
        <w:ind w:left="720" w:hanging="360"/>
      </w:pPr>
      <w:rPr>
        <w:rFonts w:ascii="Symbol" w:hAnsi="Symbol"/>
      </w:rPr>
    </w:lvl>
    <w:lvl w:ilvl="6" w:tplc="19508BE0">
      <w:start w:val="1"/>
      <w:numFmt w:val="bullet"/>
      <w:lvlText w:val=""/>
      <w:lvlJc w:val="left"/>
      <w:pPr>
        <w:ind w:left="720" w:hanging="360"/>
      </w:pPr>
      <w:rPr>
        <w:rFonts w:ascii="Symbol" w:hAnsi="Symbol"/>
      </w:rPr>
    </w:lvl>
    <w:lvl w:ilvl="7" w:tplc="ABE4F362">
      <w:start w:val="1"/>
      <w:numFmt w:val="bullet"/>
      <w:lvlText w:val=""/>
      <w:lvlJc w:val="left"/>
      <w:pPr>
        <w:ind w:left="720" w:hanging="360"/>
      </w:pPr>
      <w:rPr>
        <w:rFonts w:ascii="Symbol" w:hAnsi="Symbol"/>
      </w:rPr>
    </w:lvl>
    <w:lvl w:ilvl="8" w:tplc="95D697F2">
      <w:start w:val="1"/>
      <w:numFmt w:val="bullet"/>
      <w:lvlText w:val=""/>
      <w:lvlJc w:val="left"/>
      <w:pPr>
        <w:ind w:left="720" w:hanging="360"/>
      </w:pPr>
      <w:rPr>
        <w:rFonts w:ascii="Symbol" w:hAnsi="Symbol"/>
      </w:rPr>
    </w:lvl>
  </w:abstractNum>
  <w:num w:numId="1" w16cid:durableId="718088208">
    <w:abstractNumId w:val="0"/>
    <w:lvlOverride w:ilvl="0">
      <w:startOverride w:val="1"/>
    </w:lvlOverride>
  </w:num>
  <w:num w:numId="2" w16cid:durableId="141108097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trackRevision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F19C2"/>
    <w:rsid w:val="00071780"/>
    <w:rsid w:val="000A5075"/>
    <w:rsid w:val="0012268F"/>
    <w:rsid w:val="001360B1"/>
    <w:rsid w:val="001750B5"/>
    <w:rsid w:val="002F19C2"/>
    <w:rsid w:val="00307DDD"/>
    <w:rsid w:val="00317734"/>
    <w:rsid w:val="00345330"/>
    <w:rsid w:val="003D33C0"/>
    <w:rsid w:val="00420DE6"/>
    <w:rsid w:val="004C1412"/>
    <w:rsid w:val="0056020D"/>
    <w:rsid w:val="0058116F"/>
    <w:rsid w:val="005A516E"/>
    <w:rsid w:val="005F6905"/>
    <w:rsid w:val="005F7057"/>
    <w:rsid w:val="009352A1"/>
    <w:rsid w:val="00A52604"/>
    <w:rsid w:val="00B15128"/>
    <w:rsid w:val="00B636BD"/>
    <w:rsid w:val="00B65E1E"/>
    <w:rsid w:val="00BB0B16"/>
    <w:rsid w:val="00BD0FFD"/>
    <w:rsid w:val="00C215A1"/>
    <w:rsid w:val="00C66806"/>
    <w:rsid w:val="00CF01E6"/>
    <w:rsid w:val="00D921D7"/>
    <w:rsid w:val="00E947AB"/>
    <w:rsid w:val="00F97C82"/>
    <w:rsid w:val="00FF1BFD"/>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C1814E"/>
  <w15:docId w15:val="{08EE96A9-57D7-4B5B-BD3C-5575E4994D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re1">
    <w:name w:val="heading 1"/>
    <w:uiPriority w:val="9"/>
    <w:qFormat/>
    <w:pPr>
      <w:outlineLvl w:val="0"/>
    </w:pPr>
    <w:rPr>
      <w:color w:val="2E74B5"/>
      <w:sz w:val="32"/>
      <w:szCs w:val="32"/>
    </w:rPr>
  </w:style>
  <w:style w:type="paragraph" w:styleId="Titre2">
    <w:name w:val="heading 2"/>
    <w:uiPriority w:val="9"/>
    <w:semiHidden/>
    <w:unhideWhenUsed/>
    <w:qFormat/>
    <w:pPr>
      <w:outlineLvl w:val="1"/>
    </w:pPr>
    <w:rPr>
      <w:color w:val="2E74B5"/>
      <w:sz w:val="26"/>
      <w:szCs w:val="26"/>
    </w:rPr>
  </w:style>
  <w:style w:type="paragraph" w:styleId="Titre3">
    <w:name w:val="heading 3"/>
    <w:uiPriority w:val="9"/>
    <w:semiHidden/>
    <w:unhideWhenUsed/>
    <w:qFormat/>
    <w:pPr>
      <w:outlineLvl w:val="2"/>
    </w:pPr>
    <w:rPr>
      <w:color w:val="1F4D78"/>
      <w:sz w:val="24"/>
      <w:szCs w:val="24"/>
    </w:rPr>
  </w:style>
  <w:style w:type="paragraph" w:styleId="Titre4">
    <w:name w:val="heading 4"/>
    <w:uiPriority w:val="9"/>
    <w:semiHidden/>
    <w:unhideWhenUsed/>
    <w:qFormat/>
    <w:pPr>
      <w:outlineLvl w:val="3"/>
    </w:pPr>
    <w:rPr>
      <w:i/>
      <w:iCs/>
      <w:color w:val="2E74B5"/>
    </w:rPr>
  </w:style>
  <w:style w:type="paragraph" w:styleId="Titre5">
    <w:name w:val="heading 5"/>
    <w:uiPriority w:val="9"/>
    <w:semiHidden/>
    <w:unhideWhenUsed/>
    <w:qFormat/>
    <w:pPr>
      <w:outlineLvl w:val="4"/>
    </w:pPr>
    <w:rPr>
      <w:color w:val="2E74B5"/>
    </w:rPr>
  </w:style>
  <w:style w:type="paragraph" w:styleId="Titre6">
    <w:name w:val="heading 6"/>
    <w:uiPriority w:val="9"/>
    <w:semiHidden/>
    <w:unhideWhenUsed/>
    <w:qFormat/>
    <w:pPr>
      <w:outlineLvl w:val="5"/>
    </w:pPr>
    <w:rPr>
      <w:color w:val="1F4D7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itre">
    <w:name w:val="Title"/>
    <w:uiPriority w:val="10"/>
    <w:qFormat/>
    <w:rPr>
      <w:sz w:val="56"/>
      <w:szCs w:val="56"/>
    </w:rPr>
  </w:style>
  <w:style w:type="paragraph" w:customStyle="1" w:styleId="lev1">
    <w:name w:val="Élevé1"/>
    <w:qFormat/>
    <w:rPr>
      <w:b/>
      <w:bCs/>
    </w:rPr>
  </w:style>
  <w:style w:type="paragraph" w:styleId="Paragraphedeliste">
    <w:name w:val="List Paragraph"/>
    <w:qFormat/>
  </w:style>
  <w:style w:type="character" w:styleId="Lienhypertexte">
    <w:name w:val="Hyperlink"/>
    <w:uiPriority w:val="99"/>
    <w:unhideWhenUsed/>
    <w:rPr>
      <w:color w:val="0563C1"/>
      <w:u w:val="single"/>
    </w:rPr>
  </w:style>
  <w:style w:type="character" w:styleId="Appelnotedebasdep">
    <w:name w:val="footnote reference"/>
    <w:uiPriority w:val="99"/>
    <w:semiHidden/>
    <w:unhideWhenUsed/>
    <w:rPr>
      <w:vertAlign w:val="superscript"/>
    </w:rPr>
  </w:style>
  <w:style w:type="paragraph" w:styleId="Notedebasdepage">
    <w:name w:val="footnote text"/>
    <w:link w:val="NotedebasdepageCar"/>
    <w:uiPriority w:val="99"/>
    <w:semiHidden/>
    <w:unhideWhenUsed/>
  </w:style>
  <w:style w:type="character" w:customStyle="1" w:styleId="NotedebasdepageCar">
    <w:name w:val="Note de bas de page Car"/>
    <w:link w:val="Notedebasdepage"/>
    <w:uiPriority w:val="99"/>
    <w:semiHidden/>
    <w:unhideWhenUsed/>
    <w:rPr>
      <w:sz w:val="20"/>
      <w:szCs w:val="20"/>
    </w:rPr>
  </w:style>
  <w:style w:type="character" w:styleId="Appeldenotedefin">
    <w:name w:val="endnote reference"/>
    <w:uiPriority w:val="99"/>
    <w:semiHidden/>
    <w:unhideWhenUsed/>
    <w:rPr>
      <w:vertAlign w:val="superscript"/>
    </w:rPr>
  </w:style>
  <w:style w:type="paragraph" w:styleId="Notedefin">
    <w:name w:val="endnote text"/>
    <w:link w:val="NotedefinCar"/>
    <w:uiPriority w:val="99"/>
    <w:semiHidden/>
    <w:unhideWhenUsed/>
  </w:style>
  <w:style w:type="character" w:customStyle="1" w:styleId="NotedefinCar">
    <w:name w:val="Note de fin Car"/>
    <w:link w:val="Notedefin"/>
    <w:uiPriority w:val="99"/>
    <w:semiHidden/>
    <w:unhideWhenUsed/>
    <w:rPr>
      <w:sz w:val="20"/>
      <w:szCs w:val="20"/>
    </w:rPr>
  </w:style>
  <w:style w:type="paragraph" w:styleId="En-tte">
    <w:name w:val="header"/>
    <w:basedOn w:val="Normal"/>
    <w:link w:val="En-tteCar"/>
    <w:uiPriority w:val="99"/>
    <w:unhideWhenUsed/>
    <w:rsid w:val="00C215A1"/>
    <w:pPr>
      <w:tabs>
        <w:tab w:val="center" w:pos="4536"/>
        <w:tab w:val="right" w:pos="9072"/>
      </w:tabs>
    </w:pPr>
  </w:style>
  <w:style w:type="character" w:customStyle="1" w:styleId="En-tteCar">
    <w:name w:val="En-tête Car"/>
    <w:basedOn w:val="Policepardfaut"/>
    <w:link w:val="En-tte"/>
    <w:uiPriority w:val="99"/>
    <w:rsid w:val="00C215A1"/>
  </w:style>
  <w:style w:type="paragraph" w:styleId="Pieddepage">
    <w:name w:val="footer"/>
    <w:basedOn w:val="Normal"/>
    <w:link w:val="PieddepageCar"/>
    <w:uiPriority w:val="99"/>
    <w:unhideWhenUsed/>
    <w:rsid w:val="00C215A1"/>
    <w:pPr>
      <w:tabs>
        <w:tab w:val="center" w:pos="4536"/>
        <w:tab w:val="right" w:pos="9072"/>
      </w:tabs>
    </w:pPr>
  </w:style>
  <w:style w:type="character" w:customStyle="1" w:styleId="PieddepageCar">
    <w:name w:val="Pied de page Car"/>
    <w:basedOn w:val="Policepardfaut"/>
    <w:link w:val="Pieddepage"/>
    <w:uiPriority w:val="99"/>
    <w:rsid w:val="00C215A1"/>
  </w:style>
  <w:style w:type="paragraph" w:styleId="Rvision">
    <w:name w:val="Revision"/>
    <w:hidden/>
    <w:uiPriority w:val="99"/>
    <w:semiHidden/>
    <w:rsid w:val="00B15128"/>
  </w:style>
  <w:style w:type="character" w:styleId="Marquedecommentaire">
    <w:name w:val="annotation reference"/>
    <w:basedOn w:val="Policepardfaut"/>
    <w:uiPriority w:val="99"/>
    <w:semiHidden/>
    <w:unhideWhenUsed/>
    <w:rsid w:val="0058116F"/>
    <w:rPr>
      <w:sz w:val="16"/>
      <w:szCs w:val="16"/>
    </w:rPr>
  </w:style>
  <w:style w:type="paragraph" w:styleId="Commentaire">
    <w:name w:val="annotation text"/>
    <w:basedOn w:val="Normal"/>
    <w:link w:val="CommentaireCar"/>
    <w:uiPriority w:val="99"/>
    <w:unhideWhenUsed/>
    <w:rsid w:val="0058116F"/>
  </w:style>
  <w:style w:type="character" w:customStyle="1" w:styleId="CommentaireCar">
    <w:name w:val="Commentaire Car"/>
    <w:basedOn w:val="Policepardfaut"/>
    <w:link w:val="Commentaire"/>
    <w:uiPriority w:val="99"/>
    <w:rsid w:val="0058116F"/>
  </w:style>
  <w:style w:type="paragraph" w:styleId="Objetducommentaire">
    <w:name w:val="annotation subject"/>
    <w:basedOn w:val="Commentaire"/>
    <w:next w:val="Commentaire"/>
    <w:link w:val="ObjetducommentaireCar"/>
    <w:uiPriority w:val="99"/>
    <w:semiHidden/>
    <w:unhideWhenUsed/>
    <w:rsid w:val="0058116F"/>
    <w:rPr>
      <w:b/>
      <w:bCs/>
    </w:rPr>
  </w:style>
  <w:style w:type="character" w:customStyle="1" w:styleId="ObjetducommentaireCar">
    <w:name w:val="Objet du commentaire Car"/>
    <w:basedOn w:val="CommentaireCar"/>
    <w:link w:val="Objetducommentaire"/>
    <w:uiPriority w:val="99"/>
    <w:semiHidden/>
    <w:rsid w:val="0058116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5"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D5BA7416C40BA49920F60DAC803AB73" ma:contentTypeVersion="10" ma:contentTypeDescription="Crée un document." ma:contentTypeScope="" ma:versionID="33200b2c0ce418dbb227f96e2f1ccbfc">
  <xsd:schema xmlns:xsd="http://www.w3.org/2001/XMLSchema" xmlns:xs="http://www.w3.org/2001/XMLSchema" xmlns:p="http://schemas.microsoft.com/office/2006/metadata/properties" xmlns:ns2="661f0dff-d8fe-4b26-8094-57f854c10461" targetNamespace="http://schemas.microsoft.com/office/2006/metadata/properties" ma:root="true" ma:fieldsID="f97d5774b34b6ace62a3649b022f99f7" ns2:_="">
    <xsd:import namespace="661f0dff-d8fe-4b26-8094-57f854c1046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61f0dff-d8fe-4b26-8094-57f854c1046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Balises d’images" ma:readOnly="false" ma:fieldId="{5cf76f15-5ced-4ddc-b409-7134ff3c332f}" ma:taxonomyMulti="true" ma:sspId="79576f2d-095b-4c28-b159-cd8baa0c9277"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61f0dff-d8fe-4b26-8094-57f854c1046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F05B5813-654F-45F3-A8A6-956EA025A1DC}"/>
</file>

<file path=customXml/itemProps2.xml><?xml version="1.0" encoding="utf-8"?>
<ds:datastoreItem xmlns:ds="http://schemas.openxmlformats.org/officeDocument/2006/customXml" ds:itemID="{D113C671-313A-4278-8565-3992D381BB8A}">
  <ds:schemaRefs>
    <ds:schemaRef ds:uri="http://schemas.microsoft.com/sharepoint/v3/contenttype/forms"/>
  </ds:schemaRefs>
</ds:datastoreItem>
</file>

<file path=customXml/itemProps3.xml><?xml version="1.0" encoding="utf-8"?>
<ds:datastoreItem xmlns:ds="http://schemas.openxmlformats.org/officeDocument/2006/customXml" ds:itemID="{CECB4936-D580-4115-B195-E3AF125E082B}">
  <ds:schemaRefs>
    <ds:schemaRef ds:uri="http://schemas.microsoft.com/office/2006/metadata/properties"/>
    <ds:schemaRef ds:uri="http://schemas.microsoft.com/office/infopath/2007/PartnerControls"/>
    <ds:schemaRef ds:uri="a789c526-772d-4f58-9e89-17ea2fc072d3"/>
    <ds:schemaRef ds:uri="61910152-8952-4510-8368-37aa72d848e9"/>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2</Pages>
  <Words>933</Words>
  <Characters>5136</Characters>
  <Application>Microsoft Office Word</Application>
  <DocSecurity>0</DocSecurity>
  <Lines>42</Lines>
  <Paragraphs>12</Paragraphs>
  <ScaleCrop>false</ScaleCrop>
  <Company/>
  <LinksUpToDate>false</LinksUpToDate>
  <CharactersWithSpaces>6057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Elisabeth LEDANOIS</cp:lastModifiedBy>
  <cp:revision>21</cp:revision>
  <dcterms:created xsi:type="dcterms:W3CDTF">2026-07-20T13:04:00Z</dcterms:created>
  <dcterms:modified xsi:type="dcterms:W3CDTF">2026-08-05T09:56:00Z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0x0101003D5BA7416C40BA49920F60DAC803AB73</vt:lpwstr>
  </property>
  <property fmtid="{D5CDD505-2E9C-101B-9397-08002B2CF9AE}" pid="3" name="MediaServiceImageTags">
    <vt:lpwstr/>
  </property>
</Properties>
</file>