
<file path=[Content_Types].xml><?xml version="1.0" encoding="utf-8"?>
<Types xmlns="http://schemas.openxmlformats.org/package/2006/content-types">
  <Default Extension="jpg" ContentType="image/jpeg"/>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customXml/itemProps1.xml" ContentType="application/vnd.openxmlformats-officedocument.customXmlProperties+xml"/>
  <Override PartName="/docProps/core.xml" ContentType="application/vnd.openxmlformats-package.core-properties+xml"/>
  <Override PartName="/word/header4.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docProps/app.xml" ContentType="application/vnd.openxmlformats-officedocument.extended-properties+xml"/>
  <Override PartName="/word/header1.xml" ContentType="application/vnd.openxmlformats-officedocument.wordprocessingml.header+xml"/>
  <Override PartName="/word/header2.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6981208D"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tbl>
      <w:tblPr>
        <w:tblStyle w:val="1284"/>
        <w:tblInd w:w="1134" w:type="dxa"/>
        <w:tblW w:w="0" w:type="auto"/>
        <w:tblBorders/>
        <w:tblLook w:val="04A0" w:firstRow="1" w:lastRow="0" w:firstColumn="1" w:lastColumn="0" w:noHBand="0" w:noVBand="1"/>
      </w:tblPr>
      <w:tblGrid>
        <w:gridCol w:w="236"/>
        <w:gridCol w:w="7944"/>
        <w:gridCol w:w="15"/>
      </w:tblGrid>
      <w:tr>
        <w:trPr>
          <w:gridAfter w:val="1"/>
          <w:trHeight w:val="318"/>
        </w:trPr>
        <w:tc>
          <w:tcPr>
            <w:gridSpan w:val="2"/>
            <w:tcBorders>
              <w:top w:val="single" w:color="auto" w:sz="4" w:space="0"/>
              <w:left w:val="single" w:color="auto" w:sz="4" w:space="0"/>
              <w:bottom w:val="single" w:color="auto" w:sz="4" w:space="0"/>
              <w:right w:val="single" w:color="auto" w:sz="4" w:space="0"/>
            </w:tcBorders>
            <w:tcW w:w="8190" w:type="dxa"/>
            <w:textDirection w:val="lrTb"/>
            <w:noWrap w:val="false"/>
          </w:tcPr>
          <w:p w14:paraId="19CABEA8" w14:textId="77777777">
            <w:pPr>
              <w:pBdr/>
              <w:spacing/>
              <w:ind/>
              <w:rPr>
                <w:rFonts w:asciiTheme="minorHAnsi" w:hAnsiTheme="minorHAnsi" w:cstheme="minorHAnsi"/>
                <w:b/>
                <w:sz w:val="32"/>
                <w:szCs w:val="22"/>
              </w:rPr>
            </w:pPr>
            <w:r>
              <w:rPr>
                <w:rFonts w:asciiTheme="minorHAnsi" w:hAnsiTheme="minorHAnsi" w:cstheme="minorHAnsi"/>
                <w:b/>
                <w:sz w:val="32"/>
                <w:szCs w:val="22"/>
              </w:rPr>
            </w:r>
            <w:r>
              <w:rPr>
                <w:rFonts w:asciiTheme="minorHAnsi" w:hAnsiTheme="minorHAnsi" w:cstheme="minorHAnsi"/>
                <w:b/>
                <w:sz w:val="32"/>
                <w:szCs w:val="22"/>
              </w:rPr>
            </w:r>
          </w:p>
          <w:p w14:paraId="1200E90F" w14:textId="77777777">
            <w:pPr>
              <w:pBdr/>
              <w:spacing/>
              <w:ind/>
              <w:rPr>
                <w:rFonts w:asciiTheme="minorHAnsi" w:hAnsiTheme="minorHAnsi" w:cstheme="minorHAnsi"/>
                <w:b/>
                <w:sz w:val="32"/>
                <w:szCs w:val="22"/>
              </w:rPr>
            </w:pPr>
            <w:r>
              <w:rPr>
                <w:rFonts w:asciiTheme="minorHAnsi" w:hAnsiTheme="minorHAnsi" w:cstheme="minorHAnsi"/>
                <w:b/>
                <w:sz w:val="32"/>
                <w:szCs w:val="22"/>
              </w:rPr>
              <w:t xml:space="preserve">REGLEMENT DE LA CONSULTATION (RC)</w:t>
            </w:r>
            <w:r>
              <w:rPr>
                <w:rFonts w:asciiTheme="minorHAnsi" w:hAnsiTheme="minorHAnsi" w:cstheme="minorHAnsi"/>
                <w:b/>
                <w:sz w:val="32"/>
                <w:szCs w:val="22"/>
              </w:rPr>
            </w:r>
          </w:p>
          <w:p w14:paraId="47F99680" w14:textId="77777777">
            <w:pPr>
              <w:pBdr/>
              <w:spacing/>
              <w:ind/>
              <w:rPr>
                <w:rFonts w:asciiTheme="minorHAnsi" w:hAnsiTheme="minorHAnsi" w:cstheme="minorHAnsi"/>
                <w:b/>
                <w:sz w:val="32"/>
                <w:szCs w:val="22"/>
              </w:rPr>
            </w:pPr>
            <w:r>
              <w:rPr>
                <w:rFonts w:asciiTheme="minorHAnsi" w:hAnsiTheme="minorHAnsi" w:cstheme="minorHAnsi"/>
                <w:b/>
                <w:sz w:val="32"/>
                <w:szCs w:val="22"/>
              </w:rPr>
            </w:r>
            <w:r>
              <w:rPr>
                <w:rFonts w:asciiTheme="minorHAnsi" w:hAnsiTheme="minorHAnsi" w:cstheme="minorHAnsi"/>
                <w:b/>
                <w:sz w:val="32"/>
                <w:szCs w:val="22"/>
              </w:rPr>
            </w:r>
          </w:p>
        </w:tc>
      </w:tr>
      <w:tr>
        <w:trPr>
          <w:gridAfter w:val="1"/>
          <w:trHeight w:val="318"/>
        </w:trPr>
        <w:tc>
          <w:tcPr>
            <w:gridSpan w:val="2"/>
            <w:tcBorders>
              <w:top w:val="none" w:color="000000" w:themeColor="text1" w:sz="4" w:space="0"/>
              <w:left w:val="none" w:color="000000" w:themeColor="text1" w:sz="4" w:space="0"/>
              <w:bottom w:val="none" w:color="000000" w:themeColor="text1" w:sz="4" w:space="0"/>
              <w:right w:val="none" w:color="000000" w:themeColor="text1" w:sz="4" w:space="0"/>
            </w:tcBorders>
            <w:tcW w:w="8190" w:type="dxa"/>
            <w:textDirection w:val="lrTb"/>
            <w:noWrap w:val="false"/>
          </w:tcPr>
          <w:p w14:paraId="698FF308"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r>
      <w:tr>
        <w:trPr/>
        <w:tc>
          <w:tcPr>
            <w:tcBorders>
              <w:top w:val="none" w:color="000000" w:themeColor="text1" w:sz="4" w:space="0"/>
              <w:left w:val="none" w:color="000000" w:themeColor="text1" w:sz="4" w:space="0"/>
              <w:bottom w:val="none" w:color="000000" w:themeColor="text1" w:sz="4" w:space="0"/>
              <w:right w:val="single" w:color="auto" w:sz="4" w:space="0"/>
            </w:tcBorders>
            <w:tcW w:w="236" w:type="dxa"/>
            <w:textDirection w:val="lrTb"/>
            <w:noWrap w:val="false"/>
          </w:tcPr>
          <w:p w14:paraId="7D69B62C"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themeColor="text1" w:sz="4" w:space="0"/>
              <w:left w:val="single" w:color="auto" w:sz="4" w:space="0"/>
              <w:bottom w:val="single" w:color="auto" w:sz="4" w:space="0"/>
              <w:right w:val="none" w:color="000000" w:themeColor="text1" w:sz="4" w:space="0"/>
            </w:tcBorders>
            <w:tcW w:w="7969" w:type="dxa"/>
            <w:textDirection w:val="lrTb"/>
            <w:noWrap w:val="false"/>
          </w:tcPr>
          <w:p w14:paraId="5B7EB031" w14:textId="77777777">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O</w:t>
            </w:r>
            <w:r>
              <w:rPr>
                <w:rFonts w:asciiTheme="minorHAnsi" w:hAnsiTheme="minorHAnsi" w:cstheme="minorHAnsi"/>
                <w:b/>
                <w:caps/>
                <w:sz w:val="22"/>
                <w:szCs w:val="22"/>
              </w:rPr>
              <w:t xml:space="preserve">BJET Du projet de contrat :</w:t>
            </w:r>
            <w:r>
              <w:rPr>
                <w:rFonts w:asciiTheme="minorHAnsi" w:hAnsiTheme="minorHAnsi" w:cstheme="minorHAnsi"/>
                <w:b/>
                <w:caps/>
                <w:smallCaps/>
                <w:sz w:val="22"/>
                <w:szCs w:val="22"/>
              </w:rPr>
            </w:r>
          </w:p>
          <w:p w14:paraId="263A2B88"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Appui à l’élaboration du plan d’action et de financement de l’économie bleue du Togo</w:t>
            </w:r>
            <w:r>
              <w:rPr>
                <w:rFonts w:asciiTheme="minorHAnsi" w:hAnsiTheme="minorHAnsi" w:cstheme="minorHAnsi"/>
                <w:b/>
                <w:sz w:val="22"/>
                <w:szCs w:val="22"/>
              </w:rPr>
            </w:r>
          </w:p>
        </w:tc>
      </w:tr>
      <w:tr>
        <w:trPr/>
        <w:tc>
          <w:tcPr>
            <w:tcBorders>
              <w:top w:val="none" w:color="000000" w:themeColor="text1" w:sz="4" w:space="0"/>
              <w:left w:val="none" w:color="000000" w:themeColor="text1" w:sz="4" w:space="0"/>
              <w:bottom w:val="none" w:color="000000" w:themeColor="text1" w:sz="4" w:space="0"/>
              <w:right w:val="single" w:color="auto" w:sz="4" w:space="0"/>
            </w:tcBorders>
            <w:tcW w:w="236" w:type="dxa"/>
            <w:textDirection w:val="lrTb"/>
            <w:noWrap w:val="false"/>
          </w:tcPr>
          <w:p w14:paraId="6DF9A434"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themeColor="text1" w:sz="4" w:space="0"/>
              <w:left w:val="single" w:color="auto" w:sz="4" w:space="0"/>
              <w:bottom w:val="single" w:color="auto" w:sz="4" w:space="0"/>
              <w:right w:val="none" w:color="000000" w:themeColor="text1" w:sz="4" w:space="0"/>
            </w:tcBorders>
            <w:tcW w:w="7969" w:type="dxa"/>
            <w:textDirection w:val="lrTb"/>
            <w:noWrap w:val="false"/>
          </w:tcPr>
          <w:p w14:paraId="1D1D5E92" w14:textId="77777777">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REPRESENTANT LEGAL DU POUVOIR ADJUDICATEUR :</w:t>
            </w:r>
            <w:r>
              <w:rPr>
                <w:rFonts w:asciiTheme="minorHAnsi" w:hAnsiTheme="minorHAnsi" w:cstheme="minorHAnsi"/>
                <w:b/>
                <w:caps/>
                <w:smallCaps/>
                <w:sz w:val="22"/>
                <w:szCs w:val="22"/>
              </w:rPr>
            </w:r>
          </w:p>
          <w:p w14:paraId="0AC1CE4D" w14:textId="44187B75">
            <w:pPr>
              <w:pBdr/>
              <w:spacing/>
              <w:ind/>
              <w:rPr>
                <w:rFonts w:asciiTheme="minorHAnsi" w:hAnsiTheme="minorHAnsi" w:cstheme="minorHAnsi"/>
                <w:sz w:val="22"/>
                <w:szCs w:val="22"/>
              </w:rPr>
            </w:pPr>
            <w:r>
              <w:rPr>
                <w:rFonts w:asciiTheme="minorHAnsi" w:hAnsiTheme="minorHAnsi" w:cstheme="minorHAnsi"/>
                <w:sz w:val="22"/>
                <w:szCs w:val="22"/>
              </w:rPr>
              <w:t xml:space="preserve">Jérémie PELLET, Directeur </w:t>
            </w:r>
            <w:r>
              <w:rPr>
                <w:rFonts w:asciiTheme="minorHAnsi" w:hAnsiTheme="minorHAnsi" w:cstheme="minorHAnsi"/>
                <w:sz w:val="22"/>
                <w:szCs w:val="22"/>
              </w:rPr>
              <w:t xml:space="preserve">Général </w:t>
            </w:r>
            <w:r>
              <w:rPr>
                <w:rFonts w:asciiTheme="minorHAnsi" w:hAnsiTheme="minorHAnsi" w:cstheme="minorHAnsi"/>
                <w:sz w:val="22"/>
                <w:szCs w:val="22"/>
              </w:rPr>
              <w:t xml:space="preserve">d’EXPERTISE FRANCE</w:t>
            </w:r>
            <w:r>
              <w:rPr>
                <w:rFonts w:asciiTheme="minorHAnsi" w:hAnsiTheme="minorHAnsi" w:cstheme="minorHAnsi"/>
                <w:sz w:val="22"/>
                <w:szCs w:val="22"/>
              </w:rPr>
            </w:r>
          </w:p>
        </w:tc>
      </w:tr>
      <w:tr>
        <w:trPr>
          <w:gridAfter w:val="1"/>
          <w:trHeight w:val="60"/>
        </w:trPr>
        <w:tc>
          <w:tcPr>
            <w:gridSpan w:val="2"/>
            <w:tcBorders>
              <w:top w:val="none" w:color="000000" w:themeColor="text1" w:sz="4" w:space="0"/>
              <w:left w:val="none" w:color="000000" w:themeColor="text1" w:sz="4" w:space="0"/>
              <w:bottom w:val="none" w:color="000000" w:themeColor="text1" w:sz="4" w:space="0"/>
              <w:right w:val="none" w:color="000000" w:themeColor="text1" w:sz="4" w:space="0"/>
            </w:tcBorders>
            <w:tcW w:w="8190" w:type="dxa"/>
            <w:textDirection w:val="lrTb"/>
            <w:noWrap w:val="false"/>
          </w:tcPr>
          <w:p w14:paraId="43BCA5A6"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r>
      <w:tr>
        <w:trPr/>
        <w:tc>
          <w:tcPr>
            <w:tcBorders>
              <w:top w:val="none" w:color="000000" w:themeColor="text1" w:sz="4" w:space="0"/>
              <w:left w:val="none" w:color="000000" w:themeColor="text1" w:sz="4" w:space="0"/>
              <w:bottom w:val="none" w:color="000000" w:themeColor="text1" w:sz="4" w:space="0"/>
              <w:right w:val="single" w:color="auto" w:sz="4" w:space="0"/>
            </w:tcBorders>
            <w:tcW w:w="236" w:type="dxa"/>
            <w:textDirection w:val="lrTb"/>
            <w:noWrap w:val="false"/>
          </w:tcPr>
          <w:p w14:paraId="22E6C9E1"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c>
        <w:tc>
          <w:tcPr>
            <w:gridSpan w:val="2"/>
            <w:tcBorders>
              <w:top w:val="none" w:color="000000" w:themeColor="text1" w:sz="4" w:space="0"/>
              <w:left w:val="single" w:color="auto" w:sz="4" w:space="0"/>
              <w:bottom w:val="single" w:color="auto" w:sz="4" w:space="0"/>
              <w:right w:val="none" w:color="000000" w:themeColor="text1" w:sz="4" w:space="0"/>
            </w:tcBorders>
            <w:tcW w:w="7969" w:type="dxa"/>
            <w:textDirection w:val="lrTb"/>
            <w:noWrap w:val="false"/>
          </w:tcPr>
          <w:p w14:paraId="0ADB9083" w14:textId="77777777">
            <w:pPr>
              <w:pBdr/>
              <w:spacing/>
              <w:ind/>
              <w:rPr>
                <w:rFonts w:asciiTheme="minorHAnsi" w:hAnsiTheme="minorHAnsi" w:cstheme="minorHAnsi"/>
                <w:b/>
                <w:caps/>
                <w:smallCaps/>
                <w:sz w:val="22"/>
                <w:szCs w:val="22"/>
              </w:rPr>
            </w:pPr>
            <w:r>
              <w:rPr>
                <w:rFonts w:asciiTheme="minorHAnsi" w:hAnsiTheme="minorHAnsi" w:cstheme="minorHAnsi"/>
                <w:b/>
                <w:smallCaps/>
                <w:sz w:val="22"/>
                <w:szCs w:val="22"/>
              </w:rPr>
              <w:t xml:space="preserve">DATE ET HEURE LIMITES DE REMISE DES OFFRES :</w:t>
            </w:r>
            <w:r>
              <w:rPr>
                <w:rFonts w:asciiTheme="minorHAnsi" w:hAnsiTheme="minorHAnsi" w:cstheme="minorHAnsi"/>
                <w:b/>
                <w:caps/>
                <w:smallCaps/>
                <w:sz w:val="22"/>
                <w:szCs w:val="22"/>
              </w:rPr>
            </w:r>
          </w:p>
          <w:p w14:paraId="2443A7EA" w14:textId="53C97A45">
            <w:pPr>
              <w:pBdr/>
              <w:spacing/>
              <w:ind/>
              <w:rPr>
                <w:rFonts w:asciiTheme="minorHAnsi" w:hAnsiTheme="minorHAnsi" w:cstheme="minorBidi"/>
                <w:sz w:val="22"/>
                <w:szCs w:val="22"/>
              </w:rPr>
            </w:pPr>
            <w:r>
              <w:rPr>
                <w:rFonts w:asciiTheme="minorHAnsi" w:hAnsiTheme="minorHAnsi" w:cstheme="minorBidi"/>
                <w:b/>
                <w:bCs/>
                <w:sz w:val="22"/>
                <w:szCs w:val="22"/>
              </w:rPr>
              <w:t xml:space="preserve">06/11/2026 à 12h00</w:t>
            </w:r>
            <w:r>
              <w:rPr>
                <w:rFonts w:asciiTheme="minorHAnsi" w:hAnsiTheme="minorHAnsi" w:cstheme="minorBidi"/>
                <w:b/>
                <w:bCs/>
                <w:smallCaps/>
                <w:sz w:val="22"/>
                <w:szCs w:val="22"/>
              </w:rPr>
              <w:t xml:space="preserve"> (Heure de Paris)</w:t>
            </w:r>
            <w:r>
              <w:rPr>
                <w:rFonts w:asciiTheme="minorHAnsi" w:hAnsiTheme="minorHAnsi" w:cstheme="minorBidi"/>
                <w:sz w:val="22"/>
                <w:szCs w:val="22"/>
              </w:rPr>
            </w:r>
          </w:p>
        </w:tc>
      </w:tr>
    </w:tbl>
    <w:p w14:paraId="1AF16C12"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3ACBA4A3"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br w:type="page" w:clear="all"/>
      </w:r>
      <w:r>
        <w:rPr>
          <w:rFonts w:asciiTheme="minorHAnsi" w:hAnsiTheme="minorHAnsi" w:cstheme="minorHAnsi"/>
          <w:sz w:val="22"/>
          <w:szCs w:val="22"/>
        </w:rPr>
      </w:r>
    </w:p>
    <w:sdt>
      <w:sdtPr>
        <w15:appearance w15:val="boundingBox"/>
        <w:id w:val="-237329390"/>
        <w:docPartObj>
          <w:docPartGallery w:val="Table of Contents"/>
          <w:docPartUnique w:val="true"/>
        </w:docPartObj>
        <w:rPr>
          <w:rFonts w:ascii="Arial" w:hAnsi="Arial" w:eastAsia="Times" w:cs="Times New Roman"/>
          <w:b w:val="0"/>
          <w:bCs w:val="0"/>
          <w:color w:val="auto"/>
          <w:sz w:val="20"/>
          <w:szCs w:val="20"/>
        </w:rPr>
      </w:sdtPr>
      <w:sdtContent>
        <w:p w14:paraId="0827C099" w14:textId="441F39FE">
          <w:pPr>
            <w:pStyle w:val="1285"/>
            <w:pBdr/>
            <w:spacing/>
            <w:ind/>
            <w:rPr/>
          </w:pPr>
          <w:r>
            <w:t xml:space="preserve">Table des matières</w:t>
          </w:r>
          <w:r/>
        </w:p>
        <w:p w14:paraId="0E72E320" w14:textId="2C756ABA">
          <w:pPr>
            <w:pStyle w:val="1286"/>
            <w:pBdr/>
            <w:tabs>
              <w:tab w:val="left" w:leader="none" w:pos="1540"/>
              <w:tab w:val="right" w:leader="dot" w:pos="9329"/>
            </w:tabs>
            <w:spacing/>
            <w:ind/>
            <w:rPr>
              <w:rFonts w:asciiTheme="minorHAnsi" w:hAnsiTheme="minorHAnsi" w:eastAsiaTheme="minorEastAsia" w:cstheme="minorBidi"/>
              <w:sz w:val="22"/>
              <w:szCs w:val="22"/>
            </w:rPr>
          </w:pPr>
          <w:r>
            <w:fldChar w:fldCharType="begin"/>
          </w:r>
          <w:r>
            <w:instrText xml:space="preserve"> TOC \o "1-3" \h \z \u </w:instrText>
          </w:r>
          <w:r>
            <w:fldChar w:fldCharType="separate"/>
          </w:r>
          <w:hyperlink w:tooltip="#_Toc242880905" w:anchor="_Toc242880905" w:history="1">
            <w:r>
              <w:rPr>
                <w:rStyle w:val="1260"/>
                <w:rFonts w:cstheme="minorHAnsi"/>
                <w:b/>
                <w:caps/>
              </w:rPr>
              <w:t xml:space="preserve">ARTICLE 1 :</w:t>
            </w:r>
            <w:r>
              <w:rPr>
                <w:rFonts w:asciiTheme="minorHAnsi" w:hAnsiTheme="minorHAnsi" w:eastAsiaTheme="minorEastAsia" w:cstheme="minorBidi"/>
                <w:sz w:val="22"/>
                <w:szCs w:val="22"/>
              </w:rPr>
              <w:tab/>
            </w:r>
            <w:r>
              <w:rPr>
                <w:rStyle w:val="1260"/>
                <w:rFonts w:cstheme="minorHAnsi"/>
                <w:b/>
                <w:caps/>
              </w:rPr>
              <w:t xml:space="preserve">Objet et étendue de la consultation</w:t>
            </w:r>
            <w:r>
              <w:tab/>
            </w:r>
            <w:r>
              <w:fldChar w:fldCharType="begin"/>
            </w:r>
            <w:r>
              <w:instrText xml:space="preserve"> PAGEREF _Toc242880905 \h </w:instrText>
            </w:r>
            <w:r/>
            <w:r>
              <w:fldChar w:fldCharType="separate"/>
            </w:r>
            <w:r>
              <w:t xml:space="preserve">4</w:t>
            </w:r>
            <w:r>
              <w:fldChar w:fldCharType="end"/>
            </w:r>
          </w:hyperlink>
          <w:r/>
          <w:r>
            <w:rPr>
              <w:rFonts w:asciiTheme="minorHAnsi" w:hAnsiTheme="minorHAnsi" w:eastAsiaTheme="minorEastAsia" w:cstheme="minorBidi"/>
              <w:sz w:val="22"/>
              <w:szCs w:val="22"/>
            </w:rPr>
          </w:r>
        </w:p>
        <w:p w14:paraId="687FE8B0" w14:textId="7E885A36">
          <w:pPr>
            <w:pStyle w:val="1287"/>
            <w:pBdr/>
            <w:spacing/>
            <w:ind/>
            <w:rPr/>
          </w:pPr>
          <w:r/>
          <w:hyperlink w:tooltip="#_Toc242880906" w:anchor="_Toc242880906" w:history="1">
            <w:r>
              <w:rPr>
                <w:rStyle w:val="1260"/>
                <w:rFonts w:cstheme="minorHAnsi"/>
              </w:rPr>
              <w:t xml:space="preserve">Objet de la consultation</w:t>
            </w:r>
            <w:r>
              <w:tab/>
            </w:r>
            <w:r>
              <w:fldChar w:fldCharType="begin"/>
            </w:r>
            <w:r>
              <w:instrText xml:space="preserve"> PAGEREF _Toc242880906 \h </w:instrText>
            </w:r>
            <w:r/>
            <w:r>
              <w:fldChar w:fldCharType="separate"/>
            </w:r>
            <w:r>
              <w:t xml:space="preserve">4</w:t>
            </w:r>
            <w:r>
              <w:fldChar w:fldCharType="end"/>
            </w:r>
          </w:hyperlink>
          <w:r/>
          <w:r/>
        </w:p>
        <w:p w14:paraId="0E0E8C45" w14:textId="1879A787">
          <w:pPr>
            <w:pStyle w:val="1287"/>
            <w:pBdr/>
            <w:spacing/>
            <w:ind/>
            <w:rPr/>
          </w:pPr>
          <w:r/>
          <w:hyperlink w:tooltip="#_Toc242880907" w:anchor="_Toc242880907" w:history="1">
            <w:r>
              <w:rPr>
                <w:rStyle w:val="1260"/>
                <w:rFonts w:cstheme="minorHAnsi"/>
              </w:rPr>
              <w:t xml:space="preserve">Etendue de la consultation</w:t>
            </w:r>
            <w:r>
              <w:tab/>
            </w:r>
            <w:r>
              <w:fldChar w:fldCharType="begin"/>
            </w:r>
            <w:r>
              <w:instrText xml:space="preserve"> PAGEREF _Toc242880907 \h </w:instrText>
            </w:r>
            <w:r/>
            <w:r>
              <w:fldChar w:fldCharType="separate"/>
            </w:r>
            <w:r>
              <w:t xml:space="preserve">4</w:t>
            </w:r>
            <w:r>
              <w:fldChar w:fldCharType="end"/>
            </w:r>
          </w:hyperlink>
          <w:r/>
          <w:r/>
        </w:p>
        <w:p w14:paraId="5F27EEDC" w14:textId="18783CBD">
          <w:pPr>
            <w:pStyle w:val="1287"/>
            <w:pBdr/>
            <w:spacing/>
            <w:ind/>
            <w:rPr/>
          </w:pPr>
          <w:r/>
          <w:hyperlink w:tooltip="#_Toc242880908" w:anchor="_Toc242880908" w:history="1">
            <w:r>
              <w:rPr>
                <w:rStyle w:val="1260"/>
                <w:rFonts w:cstheme="minorHAnsi"/>
              </w:rPr>
              <w:t xml:space="preserve">Calendrier prévisionnel de la consultation</w:t>
            </w:r>
            <w:r>
              <w:tab/>
            </w:r>
            <w:r>
              <w:fldChar w:fldCharType="begin"/>
            </w:r>
            <w:r>
              <w:instrText xml:space="preserve"> PAGEREF _Toc242880908 \h </w:instrText>
            </w:r>
            <w:r/>
            <w:r>
              <w:fldChar w:fldCharType="separate"/>
            </w:r>
            <w:r>
              <w:t xml:space="preserve">4</w:t>
            </w:r>
            <w:r>
              <w:fldChar w:fldCharType="end"/>
            </w:r>
          </w:hyperlink>
          <w:r/>
          <w:r/>
        </w:p>
        <w:p w14:paraId="1A0345D1" w14:textId="0E58F701">
          <w:pPr>
            <w:pStyle w:val="1287"/>
            <w:pBdr/>
            <w:spacing/>
            <w:ind/>
            <w:rPr/>
          </w:pPr>
          <w:r/>
          <w:hyperlink w:tooltip="#_Toc242880909" w:anchor="_Toc242880909" w:history="1">
            <w:r>
              <w:rPr>
                <w:rStyle w:val="1260"/>
                <w:rFonts w:cstheme="minorHAnsi"/>
              </w:rPr>
              <w:t xml:space="preserve">Langue de la consultation – unité monétaire</w:t>
            </w:r>
            <w:r>
              <w:tab/>
            </w:r>
            <w:r>
              <w:fldChar w:fldCharType="begin"/>
            </w:r>
            <w:r>
              <w:instrText xml:space="preserve"> PAGEREF _Toc242880909 \h </w:instrText>
            </w:r>
            <w:r/>
            <w:r>
              <w:fldChar w:fldCharType="separate"/>
            </w:r>
            <w:r>
              <w:t xml:space="preserve">4</w:t>
            </w:r>
            <w:r>
              <w:fldChar w:fldCharType="end"/>
            </w:r>
          </w:hyperlink>
          <w:r/>
          <w:r/>
        </w:p>
        <w:p w14:paraId="0A9A18E1" w14:textId="0FC680AA">
          <w:pPr>
            <w:pStyle w:val="1287"/>
            <w:pBdr/>
            <w:spacing/>
            <w:ind/>
            <w:rPr/>
          </w:pPr>
          <w:r/>
          <w:hyperlink w:tooltip="#_Toc242880910" w:anchor="_Toc242880910" w:history="1">
            <w:r>
              <w:rPr>
                <w:rStyle w:val="1260"/>
                <w:rFonts w:cstheme="minorHAnsi"/>
              </w:rPr>
              <w:t xml:space="preserve">Composition du dossier de consultation</w:t>
            </w:r>
            <w:r>
              <w:tab/>
            </w:r>
            <w:r>
              <w:fldChar w:fldCharType="begin"/>
            </w:r>
            <w:r>
              <w:instrText xml:space="preserve"> PAGEREF _Toc242880910 \h </w:instrText>
            </w:r>
            <w:r/>
            <w:r>
              <w:fldChar w:fldCharType="separate"/>
            </w:r>
            <w:r>
              <w:t xml:space="preserve">4</w:t>
            </w:r>
            <w:r>
              <w:fldChar w:fldCharType="end"/>
            </w:r>
          </w:hyperlink>
          <w:r/>
          <w:r/>
        </w:p>
        <w:p w14:paraId="54B91AD2" w14:textId="12ABE8E9">
          <w:pPr>
            <w:pStyle w:val="1287"/>
            <w:pBdr/>
            <w:spacing/>
            <w:ind/>
            <w:rPr/>
          </w:pPr>
          <w:r/>
          <w:hyperlink w:tooltip="#_Toc242880911" w:anchor="_Toc242880911" w:history="1">
            <w:r>
              <w:rPr>
                <w:rStyle w:val="1260"/>
                <w:rFonts w:cstheme="minorHAnsi"/>
              </w:rPr>
              <w:t xml:space="preserve">Modification du dossier de consultation</w:t>
            </w:r>
            <w:r>
              <w:tab/>
            </w:r>
            <w:r>
              <w:fldChar w:fldCharType="begin"/>
            </w:r>
            <w:r>
              <w:instrText xml:space="preserve"> PAGEREF _Toc242880911 \h </w:instrText>
            </w:r>
            <w:r/>
            <w:r>
              <w:fldChar w:fldCharType="separate"/>
            </w:r>
            <w:r>
              <w:t xml:space="preserve">4</w:t>
            </w:r>
            <w:r>
              <w:fldChar w:fldCharType="end"/>
            </w:r>
          </w:hyperlink>
          <w:r/>
          <w:r/>
        </w:p>
        <w:p w14:paraId="5C46D523" w14:textId="399382DC">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12" w:anchor="_Toc242880912" w:history="1">
            <w:r>
              <w:rPr>
                <w:rStyle w:val="1260"/>
                <w:rFonts w:cstheme="minorHAnsi"/>
                <w:b/>
                <w:caps/>
              </w:rPr>
              <w:t xml:space="preserve">ARTICLE 2 :</w:t>
            </w:r>
            <w:r>
              <w:rPr>
                <w:rFonts w:asciiTheme="minorHAnsi" w:hAnsiTheme="minorHAnsi" w:eastAsiaTheme="minorEastAsia" w:cstheme="minorBidi"/>
                <w:sz w:val="22"/>
                <w:szCs w:val="22"/>
              </w:rPr>
              <w:tab/>
            </w:r>
            <w:r>
              <w:rPr>
                <w:rStyle w:val="1260"/>
                <w:rFonts w:cstheme="minorHAnsi"/>
                <w:b/>
                <w:caps/>
              </w:rPr>
              <w:t xml:space="preserve">Caracteristiques GENERALES du projet de contrat</w:t>
            </w:r>
            <w:r>
              <w:tab/>
            </w:r>
            <w:r>
              <w:fldChar w:fldCharType="begin"/>
            </w:r>
            <w:r>
              <w:instrText xml:space="preserve"> PAGEREF _Toc242880912 \h </w:instrText>
            </w:r>
            <w:r/>
            <w:r>
              <w:fldChar w:fldCharType="separate"/>
            </w:r>
            <w:r>
              <w:t xml:space="preserve">5</w:t>
            </w:r>
            <w:r>
              <w:fldChar w:fldCharType="end"/>
            </w:r>
          </w:hyperlink>
          <w:r/>
          <w:r>
            <w:rPr>
              <w:rFonts w:asciiTheme="minorHAnsi" w:hAnsiTheme="minorHAnsi" w:eastAsiaTheme="minorEastAsia" w:cstheme="minorBidi"/>
              <w:sz w:val="22"/>
              <w:szCs w:val="22"/>
            </w:rPr>
          </w:r>
        </w:p>
        <w:p w14:paraId="246B7A4E" w14:textId="2890C70D">
          <w:pPr>
            <w:pStyle w:val="1287"/>
            <w:pBdr/>
            <w:spacing/>
            <w:ind/>
            <w:rPr/>
          </w:pPr>
          <w:r/>
          <w:hyperlink w:tooltip="#_Toc242880913" w:anchor="_Toc242880913" w:history="1">
            <w:r>
              <w:rPr>
                <w:rStyle w:val="1260"/>
                <w:rFonts w:cstheme="minorHAnsi"/>
              </w:rPr>
              <w:t xml:space="preserve">Forme du contrat</w:t>
            </w:r>
            <w:r>
              <w:tab/>
            </w:r>
            <w:r>
              <w:fldChar w:fldCharType="begin"/>
            </w:r>
            <w:r>
              <w:instrText xml:space="preserve"> PAGEREF _Toc242880913 \h </w:instrText>
            </w:r>
            <w:r/>
            <w:r>
              <w:fldChar w:fldCharType="separate"/>
            </w:r>
            <w:r>
              <w:t xml:space="preserve">5</w:t>
            </w:r>
            <w:r>
              <w:fldChar w:fldCharType="end"/>
            </w:r>
          </w:hyperlink>
          <w:r/>
          <w:r/>
        </w:p>
        <w:p w14:paraId="4A3FCCF7" w14:textId="0C5A91F7">
          <w:pPr>
            <w:pStyle w:val="1287"/>
            <w:pBdr/>
            <w:spacing/>
            <w:ind/>
            <w:rPr/>
          </w:pPr>
          <w:r/>
          <w:hyperlink w:tooltip="#_Toc242880914" w:anchor="_Toc242880914" w:history="1">
            <w:r>
              <w:rPr>
                <w:rStyle w:val="1260"/>
                <w:rFonts w:cstheme="minorHAnsi"/>
              </w:rPr>
              <w:t xml:space="preserve">Montant estimatif du besoin</w:t>
            </w:r>
            <w:r>
              <w:tab/>
            </w:r>
            <w:r>
              <w:fldChar w:fldCharType="begin"/>
            </w:r>
            <w:r>
              <w:instrText xml:space="preserve"> PAGEREF _Toc242880914 \h </w:instrText>
            </w:r>
            <w:r/>
            <w:r>
              <w:fldChar w:fldCharType="separate"/>
            </w:r>
            <w:r>
              <w:t xml:space="preserve">5</w:t>
            </w:r>
            <w:r>
              <w:fldChar w:fldCharType="end"/>
            </w:r>
          </w:hyperlink>
          <w:r/>
          <w:r/>
        </w:p>
        <w:p w14:paraId="0CA6F647" w14:textId="22305CC7">
          <w:pPr>
            <w:pStyle w:val="1287"/>
            <w:pBdr/>
            <w:spacing/>
            <w:ind/>
            <w:rPr/>
          </w:pPr>
          <w:r/>
          <w:hyperlink w:tooltip="#_Toc242880915" w:anchor="_Toc242880915" w:history="1">
            <w:r>
              <w:rPr>
                <w:rStyle w:val="1260"/>
                <w:rFonts w:cstheme="minorHAnsi"/>
              </w:rPr>
              <w:t xml:space="preserve">Durée du contrat</w:t>
            </w:r>
            <w:r>
              <w:tab/>
            </w:r>
            <w:r>
              <w:fldChar w:fldCharType="begin"/>
            </w:r>
            <w:r>
              <w:instrText xml:space="preserve"> PAGEREF _Toc242880915 \h </w:instrText>
            </w:r>
            <w:r/>
            <w:r>
              <w:fldChar w:fldCharType="separate"/>
            </w:r>
            <w:r>
              <w:t xml:space="preserve">5</w:t>
            </w:r>
            <w:r>
              <w:fldChar w:fldCharType="end"/>
            </w:r>
          </w:hyperlink>
          <w:r/>
          <w:r/>
        </w:p>
        <w:p w14:paraId="7C42AD66" w14:textId="2A7549D8">
          <w:pPr>
            <w:pStyle w:val="1287"/>
            <w:pBdr/>
            <w:spacing/>
            <w:ind/>
            <w:rPr/>
          </w:pPr>
          <w:r/>
          <w:hyperlink w:tooltip="#_Toc242880916" w:anchor="_Toc242880916" w:history="1">
            <w:r>
              <w:rPr>
                <w:rStyle w:val="1260"/>
                <w:rFonts w:cstheme="minorHAnsi"/>
              </w:rPr>
              <w:t xml:space="preserve">Allotissement</w:t>
            </w:r>
            <w:r>
              <w:tab/>
            </w:r>
            <w:r>
              <w:fldChar w:fldCharType="begin"/>
            </w:r>
            <w:r>
              <w:instrText xml:space="preserve"> PAGEREF _Toc242880916 \h </w:instrText>
            </w:r>
            <w:r/>
            <w:r>
              <w:fldChar w:fldCharType="separate"/>
            </w:r>
            <w:r>
              <w:t xml:space="preserve">5</w:t>
            </w:r>
            <w:r>
              <w:fldChar w:fldCharType="end"/>
            </w:r>
          </w:hyperlink>
          <w:r/>
          <w:r/>
        </w:p>
        <w:p w14:paraId="25031752" w14:textId="3598C9BF">
          <w:pPr>
            <w:pStyle w:val="1287"/>
            <w:pBdr/>
            <w:spacing/>
            <w:ind/>
            <w:rPr/>
          </w:pPr>
          <w:r/>
          <w:hyperlink w:tooltip="#_Toc242880917" w:anchor="_Toc242880917" w:history="1">
            <w:r>
              <w:rPr>
                <w:rStyle w:val="1260"/>
                <w:rFonts w:cstheme="minorHAnsi"/>
              </w:rPr>
              <w:t xml:space="preserve">Prestations similaires</w:t>
            </w:r>
            <w:r>
              <w:tab/>
            </w:r>
            <w:r>
              <w:fldChar w:fldCharType="begin"/>
            </w:r>
            <w:r>
              <w:instrText xml:space="preserve"> PAGEREF _Toc242880917 \h </w:instrText>
            </w:r>
            <w:r/>
            <w:r>
              <w:fldChar w:fldCharType="separate"/>
            </w:r>
            <w:r>
              <w:t xml:space="preserve">5</w:t>
            </w:r>
            <w:r>
              <w:fldChar w:fldCharType="end"/>
            </w:r>
          </w:hyperlink>
          <w:r/>
          <w:r/>
        </w:p>
        <w:p w14:paraId="02A2629C" w14:textId="48EB890F">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18" w:anchor="_Toc242880918" w:history="1">
            <w:r>
              <w:rPr>
                <w:rStyle w:val="1260"/>
                <w:rFonts w:cstheme="minorHAnsi"/>
                <w:b/>
                <w:caps/>
              </w:rPr>
              <w:t xml:space="preserve">ARTICLE 3 :</w:t>
            </w:r>
            <w:r>
              <w:rPr>
                <w:rFonts w:asciiTheme="minorHAnsi" w:hAnsiTheme="minorHAnsi" w:eastAsiaTheme="minorEastAsia" w:cstheme="minorBidi"/>
                <w:sz w:val="22"/>
                <w:szCs w:val="22"/>
              </w:rPr>
              <w:tab/>
            </w:r>
            <w:r>
              <w:rPr>
                <w:rStyle w:val="1260"/>
                <w:rFonts w:cstheme="minorHAnsi"/>
                <w:b/>
                <w:caps/>
              </w:rPr>
              <w:t xml:space="preserve">Conditions de participation de candidats</w:t>
            </w:r>
            <w:r>
              <w:tab/>
            </w:r>
            <w:r>
              <w:fldChar w:fldCharType="begin"/>
            </w:r>
            <w:r>
              <w:instrText xml:space="preserve"> PAGEREF _Toc242880918 \h </w:instrText>
            </w:r>
            <w:r/>
            <w:r>
              <w:fldChar w:fldCharType="separate"/>
            </w:r>
            <w:r>
              <w:t xml:space="preserve">5</w:t>
            </w:r>
            <w:r>
              <w:fldChar w:fldCharType="end"/>
            </w:r>
          </w:hyperlink>
          <w:r/>
          <w:r>
            <w:rPr>
              <w:rFonts w:asciiTheme="minorHAnsi" w:hAnsiTheme="minorHAnsi" w:eastAsiaTheme="minorEastAsia" w:cstheme="minorBidi"/>
              <w:sz w:val="22"/>
              <w:szCs w:val="22"/>
            </w:rPr>
          </w:r>
        </w:p>
        <w:p w14:paraId="2AADA888" w14:textId="4435262A">
          <w:pPr>
            <w:pStyle w:val="1287"/>
            <w:pBdr/>
            <w:spacing/>
            <w:ind/>
            <w:rPr/>
          </w:pPr>
          <w:r/>
          <w:hyperlink w:tooltip="#_Toc242880919" w:anchor="_Toc242880919" w:history="1">
            <w:r>
              <w:rPr>
                <w:rStyle w:val="1260"/>
                <w:rFonts w:cstheme="minorHAnsi"/>
              </w:rPr>
              <w:t xml:space="preserve">Conditions de présentation des candidatures</w:t>
            </w:r>
            <w:r>
              <w:tab/>
            </w:r>
            <w:r>
              <w:fldChar w:fldCharType="begin"/>
            </w:r>
            <w:r>
              <w:instrText xml:space="preserve"> PAGEREF _Toc242880919 \h </w:instrText>
            </w:r>
            <w:r/>
            <w:r>
              <w:fldChar w:fldCharType="separate"/>
            </w:r>
            <w:r>
              <w:t xml:space="preserve">5</w:t>
            </w:r>
            <w:r>
              <w:fldChar w:fldCharType="end"/>
            </w:r>
          </w:hyperlink>
          <w:r/>
          <w:r/>
        </w:p>
        <w:p w14:paraId="6327232D" w14:textId="049FF306">
          <w:pPr>
            <w:pStyle w:val="1287"/>
            <w:pBdr/>
            <w:spacing/>
            <w:ind/>
            <w:rPr/>
          </w:pPr>
          <w:r/>
          <w:hyperlink w:tooltip="#_Toc242880920" w:anchor="_Toc242880920" w:history="1">
            <w:r>
              <w:rPr>
                <w:rStyle w:val="1260"/>
                <w:rFonts w:cstheme="minorHAnsi"/>
              </w:rPr>
              <w:t xml:space="preserve">Motifs et conditions d’exclusion</w:t>
            </w:r>
            <w:r>
              <w:tab/>
            </w:r>
            <w:r>
              <w:fldChar w:fldCharType="begin"/>
            </w:r>
            <w:r>
              <w:instrText xml:space="preserve"> PAGEREF _Toc242880920 \h </w:instrText>
            </w:r>
            <w:r/>
            <w:r>
              <w:fldChar w:fldCharType="separate"/>
            </w:r>
            <w:r>
              <w:t xml:space="preserve">5</w:t>
            </w:r>
            <w:r>
              <w:fldChar w:fldCharType="end"/>
            </w:r>
          </w:hyperlink>
          <w:r/>
          <w:r/>
        </w:p>
        <w:p w14:paraId="6F7D67E9" w14:textId="0557FB57">
          <w:pPr>
            <w:pStyle w:val="1287"/>
            <w:pBdr/>
            <w:spacing/>
            <w:ind/>
            <w:rPr/>
          </w:pPr>
          <w:r/>
          <w:hyperlink w:tooltip="#_Toc242880921" w:anchor="_Toc242880921" w:history="1">
            <w:r>
              <w:rPr>
                <w:rStyle w:val="1260"/>
                <w:rFonts w:cstheme="minorHAnsi"/>
              </w:rPr>
              <w:t xml:space="preserve">Niveaux minimaux requis en termes de capacités économiques, techniques et professionnelles</w:t>
            </w:r>
            <w:r>
              <w:tab/>
            </w:r>
            <w:r>
              <w:fldChar w:fldCharType="begin"/>
            </w:r>
            <w:r>
              <w:instrText xml:space="preserve"> PAGEREF _Toc242880921 \h </w:instrText>
            </w:r>
            <w:r/>
            <w:r>
              <w:fldChar w:fldCharType="separate"/>
            </w:r>
            <w:r>
              <w:t xml:space="preserve">6</w:t>
            </w:r>
            <w:r>
              <w:fldChar w:fldCharType="end"/>
            </w:r>
          </w:hyperlink>
          <w:r/>
          <w:r/>
        </w:p>
        <w:p w14:paraId="39084B6F" w14:textId="371969AA">
          <w:pPr>
            <w:pStyle w:val="1287"/>
            <w:pBdr/>
            <w:spacing/>
            <w:ind/>
            <w:rPr/>
          </w:pPr>
          <w:r/>
          <w:hyperlink w:tooltip="#_Toc242880922" w:anchor="_Toc242880922" w:history="1">
            <w:r>
              <w:rPr>
                <w:rStyle w:val="1260"/>
                <w:rFonts w:cstheme="minorHAnsi"/>
                <w:i/>
              </w:rPr>
              <w:t xml:space="preserve">CAPACITE ECONOMIQUE ET FINANCIERE</w:t>
            </w:r>
            <w:r>
              <w:tab/>
            </w:r>
            <w:r>
              <w:fldChar w:fldCharType="begin"/>
            </w:r>
            <w:r>
              <w:instrText xml:space="preserve"> PAGEREF _Toc242880922 \h </w:instrText>
            </w:r>
            <w:r/>
            <w:r>
              <w:fldChar w:fldCharType="separate"/>
            </w:r>
            <w:r>
              <w:t xml:space="preserve">6</w:t>
            </w:r>
            <w:r>
              <w:fldChar w:fldCharType="end"/>
            </w:r>
          </w:hyperlink>
          <w:r/>
          <w:r/>
        </w:p>
        <w:p w14:paraId="0E42A97C" w14:textId="3A0E5A57">
          <w:pPr>
            <w:pStyle w:val="1287"/>
            <w:pBdr/>
            <w:spacing/>
            <w:ind/>
            <w:rPr/>
          </w:pPr>
          <w:r/>
          <w:hyperlink w:tooltip="#_Toc242880923" w:anchor="_Toc242880923" w:history="1">
            <w:r>
              <w:rPr>
                <w:rStyle w:val="1260"/>
                <w:rFonts w:cstheme="minorHAnsi"/>
                <w:i/>
              </w:rPr>
              <w:t xml:space="preserve">CAPACITE TECHNIQUE ET PROFESSIONNELLE</w:t>
            </w:r>
            <w:r>
              <w:tab/>
            </w:r>
            <w:r>
              <w:fldChar w:fldCharType="begin"/>
            </w:r>
            <w:r>
              <w:instrText xml:space="preserve"> PAGEREF _Toc242880923 \h </w:instrText>
            </w:r>
            <w:r/>
            <w:r>
              <w:fldChar w:fldCharType="separate"/>
            </w:r>
            <w:r>
              <w:t xml:space="preserve">6</w:t>
            </w:r>
            <w:r>
              <w:fldChar w:fldCharType="end"/>
            </w:r>
          </w:hyperlink>
          <w:r/>
          <w:r/>
        </w:p>
        <w:p w14:paraId="2E6CAA74" w14:textId="772A635D">
          <w:pPr>
            <w:pStyle w:val="1287"/>
            <w:pBdr/>
            <w:spacing/>
            <w:ind/>
            <w:rPr/>
          </w:pPr>
          <w:r/>
          <w:hyperlink w:tooltip="#_Toc242880924" w:anchor="_Toc242880924" w:history="1">
            <w:r>
              <w:rPr>
                <w:rStyle w:val="1260"/>
                <w:rFonts w:cstheme="minorHAnsi"/>
              </w:rPr>
              <w:t xml:space="preserve">Précisions concernant les groupements d'opérateurs économiques (consortium)</w:t>
            </w:r>
            <w:r>
              <w:tab/>
            </w:r>
            <w:r>
              <w:fldChar w:fldCharType="begin"/>
            </w:r>
            <w:r>
              <w:instrText xml:space="preserve"> PAGEREF _Toc242880924 \h </w:instrText>
            </w:r>
            <w:r/>
            <w:r>
              <w:fldChar w:fldCharType="separate"/>
            </w:r>
            <w:r>
              <w:t xml:space="preserve">7</w:t>
            </w:r>
            <w:r>
              <w:fldChar w:fldCharType="end"/>
            </w:r>
          </w:hyperlink>
          <w:r/>
          <w:r/>
        </w:p>
        <w:p w14:paraId="19D3E4A8" w14:textId="45B8A9D7">
          <w:pPr>
            <w:pStyle w:val="1287"/>
            <w:pBdr/>
            <w:spacing/>
            <w:ind/>
            <w:rPr/>
          </w:pPr>
          <w:r/>
          <w:hyperlink w:tooltip="#_Toc242880925" w:anchor="_Toc242880925" w:history="1">
            <w:r>
              <w:rPr>
                <w:rStyle w:val="1260"/>
                <w:rFonts w:cstheme="minorHAnsi"/>
                <w:i/>
              </w:rPr>
              <w:t xml:space="preserve">Motifs d'exclusion en cas de groupement d'opérateurs économiques</w:t>
            </w:r>
            <w:r>
              <w:tab/>
            </w:r>
            <w:r>
              <w:fldChar w:fldCharType="begin"/>
            </w:r>
            <w:r>
              <w:instrText xml:space="preserve"> PAGEREF _Toc242880925 \h </w:instrText>
            </w:r>
            <w:r/>
            <w:r>
              <w:fldChar w:fldCharType="separate"/>
            </w:r>
            <w:r>
              <w:t xml:space="preserve">7</w:t>
            </w:r>
            <w:r>
              <w:fldChar w:fldCharType="end"/>
            </w:r>
          </w:hyperlink>
          <w:r/>
          <w:r/>
        </w:p>
        <w:p w14:paraId="70F7C391" w14:textId="3B462240">
          <w:pPr>
            <w:pStyle w:val="1287"/>
            <w:pBdr/>
            <w:spacing/>
            <w:ind/>
            <w:rPr/>
          </w:pPr>
          <w:r/>
          <w:hyperlink w:tooltip="#_Toc242880926" w:anchor="_Toc242880926" w:history="1">
            <w:r>
              <w:rPr>
                <w:rStyle w:val="1260"/>
                <w:rFonts w:cstheme="minorHAnsi"/>
                <w:i/>
              </w:rPr>
              <w:t xml:space="preserve">Forme du groupement</w:t>
            </w:r>
            <w:r>
              <w:tab/>
            </w:r>
            <w:r>
              <w:fldChar w:fldCharType="begin"/>
            </w:r>
            <w:r>
              <w:instrText xml:space="preserve"> PAGEREF _Toc242880926 \h </w:instrText>
            </w:r>
            <w:r/>
            <w:r>
              <w:fldChar w:fldCharType="separate"/>
            </w:r>
            <w:r>
              <w:t xml:space="preserve">7</w:t>
            </w:r>
            <w:r>
              <w:fldChar w:fldCharType="end"/>
            </w:r>
          </w:hyperlink>
          <w:r/>
          <w:r/>
        </w:p>
        <w:p w14:paraId="6C1676E7" w14:textId="6AC6FB8B">
          <w:pPr>
            <w:pStyle w:val="1287"/>
            <w:pBdr/>
            <w:spacing/>
            <w:ind/>
            <w:rPr/>
          </w:pPr>
          <w:r/>
          <w:hyperlink w:tooltip="#_Toc242880927" w:anchor="_Toc242880927" w:history="1">
            <w:r>
              <w:rPr>
                <w:rStyle w:val="1260"/>
              </w:rPr>
              <w:t xml:space="preserve">Précisions concernant la sous-traitance</w:t>
            </w:r>
            <w:r>
              <w:tab/>
            </w:r>
            <w:r>
              <w:fldChar w:fldCharType="begin"/>
            </w:r>
            <w:r>
              <w:instrText xml:space="preserve"> PAGEREF _Toc242880927 \h </w:instrText>
            </w:r>
            <w:r/>
            <w:r>
              <w:fldChar w:fldCharType="separate"/>
            </w:r>
            <w:r>
              <w:t xml:space="preserve">7</w:t>
            </w:r>
            <w:r>
              <w:fldChar w:fldCharType="end"/>
            </w:r>
          </w:hyperlink>
          <w:r/>
          <w:r/>
        </w:p>
        <w:p w14:paraId="34DC650B" w14:textId="0272C1F2">
          <w:pPr>
            <w:pStyle w:val="1287"/>
            <w:pBdr/>
            <w:spacing/>
            <w:ind/>
            <w:rPr/>
          </w:pPr>
          <w:r/>
          <w:hyperlink w:tooltip="#_Toc242880928" w:anchor="_Toc242880928" w:history="1">
            <w:r>
              <w:rPr>
                <w:rStyle w:val="1260"/>
                <w:rFonts w:cstheme="minorHAnsi"/>
                <w:i/>
              </w:rPr>
              <w:t xml:space="preserve">Motifs d'exclusion en cas de sous-traitance</w:t>
            </w:r>
            <w:r>
              <w:tab/>
            </w:r>
            <w:r>
              <w:fldChar w:fldCharType="begin"/>
            </w:r>
            <w:r>
              <w:instrText xml:space="preserve"> PAGEREF _Toc242880928 \h </w:instrText>
            </w:r>
            <w:r/>
            <w:r>
              <w:fldChar w:fldCharType="separate"/>
            </w:r>
            <w:r>
              <w:t xml:space="preserve">7</w:t>
            </w:r>
            <w:r>
              <w:fldChar w:fldCharType="end"/>
            </w:r>
          </w:hyperlink>
          <w:r/>
          <w:r/>
        </w:p>
        <w:p w14:paraId="061D2AD8" w14:textId="6F49ADC9">
          <w:pPr>
            <w:pStyle w:val="1287"/>
            <w:pBdr/>
            <w:spacing/>
            <w:ind/>
            <w:rPr/>
          </w:pPr>
          <w:r/>
          <w:hyperlink w:tooltip="#_Toc242880929" w:anchor="_Toc242880929" w:history="1">
            <w:r>
              <w:rPr>
                <w:rStyle w:val="1260"/>
                <w:rFonts w:cstheme="minorHAnsi"/>
                <w:i/>
              </w:rPr>
              <w:t xml:space="preserve">Présentation d’un sous-traitant</w:t>
            </w:r>
            <w:r>
              <w:tab/>
            </w:r>
            <w:r>
              <w:fldChar w:fldCharType="begin"/>
            </w:r>
            <w:r>
              <w:instrText xml:space="preserve"> PAGEREF _Toc242880929 \h </w:instrText>
            </w:r>
            <w:r/>
            <w:r>
              <w:fldChar w:fldCharType="separate"/>
            </w:r>
            <w:r>
              <w:t xml:space="preserve">7</w:t>
            </w:r>
            <w:r>
              <w:fldChar w:fldCharType="end"/>
            </w:r>
          </w:hyperlink>
          <w:r/>
          <w:r/>
        </w:p>
        <w:p w14:paraId="28015DC3" w14:textId="6BB50009">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30" w:anchor="_Toc242880930" w:history="1">
            <w:r>
              <w:rPr>
                <w:rStyle w:val="1260"/>
                <w:rFonts w:cstheme="minorHAnsi"/>
                <w:b/>
                <w:caps/>
              </w:rPr>
              <w:t xml:space="preserve">ARTICLE 4 :</w:t>
            </w:r>
            <w:r>
              <w:rPr>
                <w:rFonts w:asciiTheme="minorHAnsi" w:hAnsiTheme="minorHAnsi" w:eastAsiaTheme="minorEastAsia" w:cstheme="minorBidi"/>
                <w:sz w:val="22"/>
                <w:szCs w:val="22"/>
              </w:rPr>
              <w:tab/>
            </w:r>
            <w:r>
              <w:rPr>
                <w:rStyle w:val="1260"/>
                <w:rFonts w:cstheme="minorHAnsi"/>
                <w:b/>
                <w:caps/>
              </w:rPr>
              <w:t xml:space="preserve">Présentation des plis et modalités de depôt</w:t>
            </w:r>
            <w:r>
              <w:tab/>
            </w:r>
            <w:r>
              <w:fldChar w:fldCharType="begin"/>
            </w:r>
            <w:r>
              <w:instrText xml:space="preserve"> PAGEREF _Toc242880930 \h </w:instrText>
            </w:r>
            <w:r/>
            <w:r>
              <w:fldChar w:fldCharType="separate"/>
            </w:r>
            <w:r>
              <w:t xml:space="preserve">7</w:t>
            </w:r>
            <w:r>
              <w:fldChar w:fldCharType="end"/>
            </w:r>
          </w:hyperlink>
          <w:r/>
          <w:r>
            <w:rPr>
              <w:rFonts w:asciiTheme="minorHAnsi" w:hAnsiTheme="minorHAnsi" w:eastAsiaTheme="minorEastAsia" w:cstheme="minorBidi"/>
              <w:sz w:val="22"/>
              <w:szCs w:val="22"/>
            </w:rPr>
          </w:r>
        </w:p>
        <w:p w14:paraId="5776CBA5" w14:textId="68FB4A0C">
          <w:pPr>
            <w:pStyle w:val="1287"/>
            <w:pBdr/>
            <w:spacing/>
            <w:ind/>
            <w:rPr/>
          </w:pPr>
          <w:r/>
          <w:hyperlink w:tooltip="#_Toc242880931" w:anchor="_Toc242880931" w:history="1">
            <w:r>
              <w:rPr>
                <w:rStyle w:val="1260"/>
                <w:rFonts w:cstheme="minorHAnsi"/>
              </w:rPr>
              <w:t xml:space="preserve">Pièces constitutives de la candidature</w:t>
            </w:r>
            <w:r>
              <w:tab/>
            </w:r>
            <w:r>
              <w:fldChar w:fldCharType="begin"/>
            </w:r>
            <w:r>
              <w:instrText xml:space="preserve"> PAGEREF _Toc242880931 \h </w:instrText>
            </w:r>
            <w:r/>
            <w:r>
              <w:fldChar w:fldCharType="separate"/>
            </w:r>
            <w:r>
              <w:t xml:space="preserve">7</w:t>
            </w:r>
            <w:r>
              <w:fldChar w:fldCharType="end"/>
            </w:r>
          </w:hyperlink>
          <w:r/>
          <w:r/>
        </w:p>
        <w:p w14:paraId="036F4F90" w14:textId="2DB30216">
          <w:pPr>
            <w:pStyle w:val="1287"/>
            <w:pBdr/>
            <w:spacing/>
            <w:ind/>
            <w:rPr/>
          </w:pPr>
          <w:r/>
          <w:hyperlink w:tooltip="#_Toc242880932" w:anchor="_Toc242880932" w:history="1">
            <w:r>
              <w:rPr>
                <w:rStyle w:val="1260"/>
                <w:rFonts w:cstheme="minorHAnsi"/>
              </w:rPr>
              <w:t xml:space="preserve">Pièces constitutives de l’offre</w:t>
            </w:r>
            <w:r>
              <w:tab/>
            </w:r>
            <w:r>
              <w:fldChar w:fldCharType="begin"/>
            </w:r>
            <w:r>
              <w:instrText xml:space="preserve"> PAGEREF _Toc242880932 \h </w:instrText>
            </w:r>
            <w:r/>
            <w:r>
              <w:fldChar w:fldCharType="separate"/>
            </w:r>
            <w:r>
              <w:t xml:space="preserve">8</w:t>
            </w:r>
            <w:r>
              <w:fldChar w:fldCharType="end"/>
            </w:r>
          </w:hyperlink>
          <w:r/>
          <w:r/>
        </w:p>
        <w:p w14:paraId="604BF9E3" w14:textId="6BEB17D5">
          <w:pPr>
            <w:pStyle w:val="1287"/>
            <w:pBdr/>
            <w:spacing/>
            <w:ind/>
            <w:rPr/>
          </w:pPr>
          <w:r/>
          <w:hyperlink w:tooltip="#_Toc242880933" w:anchor="_Toc242880933" w:history="1">
            <w:r>
              <w:rPr>
                <w:rStyle w:val="1260"/>
                <w:rFonts w:cstheme="minorHAnsi"/>
              </w:rPr>
              <w:t xml:space="preserve">Durée de validité des offres</w:t>
            </w:r>
            <w:r>
              <w:tab/>
            </w:r>
            <w:r>
              <w:fldChar w:fldCharType="begin"/>
            </w:r>
            <w:r>
              <w:instrText xml:space="preserve"> PAGEREF _Toc242880933 \h </w:instrText>
            </w:r>
            <w:r/>
            <w:r>
              <w:fldChar w:fldCharType="separate"/>
            </w:r>
            <w:r>
              <w:t xml:space="preserve">8</w:t>
            </w:r>
            <w:r>
              <w:fldChar w:fldCharType="end"/>
            </w:r>
          </w:hyperlink>
          <w:r/>
          <w:r/>
        </w:p>
        <w:p w14:paraId="5DBE6A9B" w14:textId="2DF0C512">
          <w:pPr>
            <w:pStyle w:val="1287"/>
            <w:pBdr/>
            <w:spacing/>
            <w:ind/>
            <w:rPr/>
          </w:pPr>
          <w:r/>
          <w:hyperlink w:tooltip="#_Toc242880934" w:anchor="_Toc242880934" w:history="1">
            <w:r>
              <w:rPr>
                <w:rStyle w:val="1260"/>
                <w:rFonts w:cstheme="minorHAnsi"/>
              </w:rPr>
              <w:t xml:space="preserve">Modalités de remise des plis</w:t>
            </w:r>
            <w:r>
              <w:tab/>
            </w:r>
            <w:r>
              <w:fldChar w:fldCharType="begin"/>
            </w:r>
            <w:r>
              <w:instrText xml:space="preserve"> PAGEREF _Toc242880934 \h </w:instrText>
            </w:r>
            <w:r/>
            <w:r>
              <w:fldChar w:fldCharType="separate"/>
            </w:r>
            <w:r>
              <w:t xml:space="preserve">8</w:t>
            </w:r>
            <w:r>
              <w:fldChar w:fldCharType="end"/>
            </w:r>
          </w:hyperlink>
          <w:r/>
          <w:r/>
        </w:p>
        <w:p w14:paraId="6D0CA0C9" w14:textId="798E6D90">
          <w:pPr>
            <w:pStyle w:val="1287"/>
            <w:pBdr/>
            <w:spacing/>
            <w:ind/>
            <w:rPr/>
          </w:pPr>
          <w:r/>
          <w:hyperlink w:tooltip="#_Toc242880935" w:anchor="_Toc242880935" w:history="1">
            <w:r>
              <w:rPr>
                <w:rStyle w:val="1260"/>
                <w:rFonts w:cstheme="minorHAnsi"/>
                <w:i/>
              </w:rPr>
              <w:t xml:space="preserve">Remise des plis sous format papier</w:t>
            </w:r>
            <w:r>
              <w:tab/>
            </w:r>
            <w:r>
              <w:fldChar w:fldCharType="begin"/>
            </w:r>
            <w:r>
              <w:instrText xml:space="preserve"> PAGEREF _Toc242880935 \h </w:instrText>
            </w:r>
            <w:r/>
            <w:r>
              <w:fldChar w:fldCharType="separate"/>
            </w:r>
            <w:r>
              <w:t xml:space="preserve">8</w:t>
            </w:r>
            <w:r>
              <w:fldChar w:fldCharType="end"/>
            </w:r>
          </w:hyperlink>
          <w:r/>
          <w:r/>
        </w:p>
        <w:p w14:paraId="18812F1D" w14:textId="770A6F44">
          <w:pPr>
            <w:pStyle w:val="1287"/>
            <w:pBdr/>
            <w:spacing/>
            <w:ind/>
            <w:rPr/>
          </w:pPr>
          <w:r/>
          <w:hyperlink w:tooltip="#_Toc242880936" w:anchor="_Toc242880936" w:history="1">
            <w:r>
              <w:rPr>
                <w:rStyle w:val="1260"/>
                <w:rFonts w:cstheme="minorHAnsi"/>
                <w:i/>
              </w:rPr>
              <w:t xml:space="preserve">Remise électronique</w:t>
            </w:r>
            <w:r>
              <w:tab/>
            </w:r>
            <w:r>
              <w:fldChar w:fldCharType="begin"/>
            </w:r>
            <w:r>
              <w:instrText xml:space="preserve"> PAGEREF _Toc242880936 \h </w:instrText>
            </w:r>
            <w:r/>
            <w:r>
              <w:fldChar w:fldCharType="separate"/>
            </w:r>
            <w:r>
              <w:t xml:space="preserve">8</w:t>
            </w:r>
            <w:r>
              <w:fldChar w:fldCharType="end"/>
            </w:r>
          </w:hyperlink>
          <w:r/>
          <w:r/>
        </w:p>
        <w:p w14:paraId="2EF93B2F" w14:textId="23632C2F">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37" w:anchor="_Toc242880937" w:history="1">
            <w:r>
              <w:rPr>
                <w:rStyle w:val="1260"/>
                <w:rFonts w:cstheme="minorHAnsi"/>
                <w:b/>
                <w:caps/>
              </w:rPr>
              <w:t xml:space="preserve">ARTICLE 5 :</w:t>
            </w:r>
            <w:r>
              <w:rPr>
                <w:rFonts w:asciiTheme="minorHAnsi" w:hAnsiTheme="minorHAnsi" w:eastAsiaTheme="minorEastAsia" w:cstheme="minorBidi"/>
                <w:sz w:val="22"/>
                <w:szCs w:val="22"/>
              </w:rPr>
              <w:tab/>
            </w:r>
            <w:r>
              <w:rPr>
                <w:rStyle w:val="1260"/>
                <w:rFonts w:cstheme="minorHAnsi"/>
                <w:b/>
                <w:caps/>
              </w:rPr>
              <w:t xml:space="preserve">Analyse des candidatures</w:t>
            </w:r>
            <w:r>
              <w:tab/>
            </w:r>
            <w:r>
              <w:fldChar w:fldCharType="begin"/>
            </w:r>
            <w:r>
              <w:instrText xml:space="preserve"> PAGEREF _Toc242880937 \h </w:instrText>
            </w:r>
            <w:r/>
            <w:r>
              <w:fldChar w:fldCharType="separate"/>
            </w:r>
            <w:r>
              <w:t xml:space="preserve">9</w:t>
            </w:r>
            <w:r>
              <w:fldChar w:fldCharType="end"/>
            </w:r>
          </w:hyperlink>
          <w:r/>
          <w:r>
            <w:rPr>
              <w:rFonts w:asciiTheme="minorHAnsi" w:hAnsiTheme="minorHAnsi" w:eastAsiaTheme="minorEastAsia" w:cstheme="minorBidi"/>
              <w:sz w:val="22"/>
              <w:szCs w:val="22"/>
            </w:rPr>
          </w:r>
        </w:p>
        <w:p w14:paraId="2A605723" w14:textId="24932E6E">
          <w:pPr>
            <w:pStyle w:val="1287"/>
            <w:pBdr/>
            <w:spacing/>
            <w:ind/>
            <w:rPr/>
          </w:pPr>
          <w:r/>
          <w:hyperlink w:tooltip="#_Toc242880938" w:anchor="_Toc242880938" w:history="1">
            <w:r>
              <w:rPr>
                <w:rStyle w:val="1260"/>
                <w:rFonts w:cstheme="minorHAnsi"/>
              </w:rPr>
              <w:t xml:space="preserve">Demande de compléments de candidature</w:t>
            </w:r>
            <w:r>
              <w:tab/>
            </w:r>
            <w:r>
              <w:fldChar w:fldCharType="begin"/>
            </w:r>
            <w:r>
              <w:instrText xml:space="preserve"> PAGEREF _Toc242880938 \h </w:instrText>
            </w:r>
            <w:r/>
            <w:r>
              <w:fldChar w:fldCharType="separate"/>
            </w:r>
            <w:r>
              <w:t xml:space="preserve">10</w:t>
            </w:r>
            <w:r>
              <w:fldChar w:fldCharType="end"/>
            </w:r>
          </w:hyperlink>
          <w:r/>
          <w:r/>
        </w:p>
        <w:p w14:paraId="4CFBA41E" w14:textId="5C1941F3">
          <w:pPr>
            <w:pStyle w:val="1287"/>
            <w:pBdr/>
            <w:spacing/>
            <w:ind/>
            <w:rPr/>
          </w:pPr>
          <w:r/>
          <w:hyperlink w:tooltip="#_Toc242880939" w:anchor="_Toc242880939" w:history="1">
            <w:r>
              <w:rPr>
                <w:rStyle w:val="1260"/>
                <w:rFonts w:cstheme="minorHAnsi"/>
              </w:rPr>
              <w:t xml:space="preserve">Rejet des candidatures hors délais - Ouverture des plis</w:t>
            </w:r>
            <w:r>
              <w:tab/>
            </w:r>
            <w:r>
              <w:fldChar w:fldCharType="begin"/>
            </w:r>
            <w:r>
              <w:instrText xml:space="preserve"> PAGEREF _Toc242880939 \h </w:instrText>
            </w:r>
            <w:r/>
            <w:r>
              <w:fldChar w:fldCharType="separate"/>
            </w:r>
            <w:r>
              <w:t xml:space="preserve">10</w:t>
            </w:r>
            <w:r>
              <w:fldChar w:fldCharType="end"/>
            </w:r>
          </w:hyperlink>
          <w:r/>
          <w:r/>
        </w:p>
        <w:p w14:paraId="6CD3FAE6" w14:textId="3B49B0B2">
          <w:pPr>
            <w:pStyle w:val="1287"/>
            <w:pBdr/>
            <w:spacing/>
            <w:ind/>
            <w:rPr/>
          </w:pPr>
          <w:r/>
          <w:hyperlink w:tooltip="#_Toc242880940" w:anchor="_Toc242880940" w:history="1">
            <w:r>
              <w:rPr>
                <w:rStyle w:val="1260"/>
                <w:rFonts w:cstheme="minorHAnsi"/>
              </w:rPr>
              <w:t xml:space="preserve">Recevabilité des candidatures</w:t>
            </w:r>
            <w:r>
              <w:tab/>
            </w:r>
            <w:r>
              <w:fldChar w:fldCharType="begin"/>
            </w:r>
            <w:r>
              <w:instrText xml:space="preserve"> PAGEREF _Toc242880940 \h </w:instrText>
            </w:r>
            <w:r/>
            <w:r>
              <w:fldChar w:fldCharType="separate"/>
            </w:r>
            <w:r>
              <w:t xml:space="preserve">10</w:t>
            </w:r>
            <w:r>
              <w:fldChar w:fldCharType="end"/>
            </w:r>
          </w:hyperlink>
          <w:r/>
          <w:r/>
        </w:p>
        <w:p w14:paraId="1B4D27E4" w14:textId="0DEE4D85">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41" w:anchor="_Toc242880941" w:history="1">
            <w:r>
              <w:rPr>
                <w:rStyle w:val="1260"/>
                <w:rFonts w:cstheme="minorHAnsi"/>
                <w:b/>
                <w:caps/>
              </w:rPr>
              <w:t xml:space="preserve">ARTICLE 6 :</w:t>
            </w:r>
            <w:r>
              <w:rPr>
                <w:rFonts w:asciiTheme="minorHAnsi" w:hAnsiTheme="minorHAnsi" w:eastAsiaTheme="minorEastAsia" w:cstheme="minorBidi"/>
                <w:sz w:val="22"/>
                <w:szCs w:val="22"/>
              </w:rPr>
              <w:tab/>
            </w:r>
            <w:r>
              <w:rPr>
                <w:rStyle w:val="1260"/>
                <w:rFonts w:cstheme="minorHAnsi"/>
                <w:b/>
                <w:caps/>
              </w:rPr>
              <w:t xml:space="preserve">Evaluation des offres, négociation et attribution</w:t>
            </w:r>
            <w:r>
              <w:tab/>
            </w:r>
            <w:r>
              <w:fldChar w:fldCharType="begin"/>
            </w:r>
            <w:r>
              <w:instrText xml:space="preserve"> PAGEREF _Toc242880941 \h </w:instrText>
            </w:r>
            <w:r/>
            <w:r>
              <w:fldChar w:fldCharType="separate"/>
            </w:r>
            <w:r>
              <w:t xml:space="preserve">10</w:t>
            </w:r>
            <w:r>
              <w:fldChar w:fldCharType="end"/>
            </w:r>
          </w:hyperlink>
          <w:r/>
          <w:r>
            <w:rPr>
              <w:rFonts w:asciiTheme="minorHAnsi" w:hAnsiTheme="minorHAnsi" w:eastAsiaTheme="minorEastAsia" w:cstheme="minorBidi"/>
              <w:sz w:val="22"/>
              <w:szCs w:val="22"/>
            </w:rPr>
          </w:r>
        </w:p>
        <w:p w14:paraId="7A0023AD" w14:textId="793DE0CB">
          <w:pPr>
            <w:pStyle w:val="1287"/>
            <w:pBdr/>
            <w:spacing/>
            <w:ind/>
            <w:rPr/>
          </w:pPr>
          <w:r/>
          <w:hyperlink w:tooltip="#_Toc242880942" w:anchor="_Toc242880942" w:history="1">
            <w:r>
              <w:rPr>
                <w:rStyle w:val="1260"/>
                <w:rFonts w:cstheme="minorHAnsi"/>
              </w:rPr>
              <w:t xml:space="preserve">Rejet des offres hors délais - Ouverture des offres</w:t>
            </w:r>
            <w:r>
              <w:tab/>
            </w:r>
            <w:r>
              <w:fldChar w:fldCharType="begin"/>
            </w:r>
            <w:r>
              <w:instrText xml:space="preserve"> PAGEREF _Toc242880942 \h </w:instrText>
            </w:r>
            <w:r/>
            <w:r>
              <w:fldChar w:fldCharType="separate"/>
            </w:r>
            <w:r>
              <w:t xml:space="preserve">10</w:t>
            </w:r>
            <w:r>
              <w:fldChar w:fldCharType="end"/>
            </w:r>
          </w:hyperlink>
          <w:r/>
          <w:r/>
        </w:p>
        <w:p w14:paraId="7265997B" w14:textId="6038E15E">
          <w:pPr>
            <w:pStyle w:val="1287"/>
            <w:pBdr/>
            <w:spacing/>
            <w:ind/>
            <w:rPr/>
          </w:pPr>
          <w:r/>
          <w:hyperlink w:tooltip="#_Toc242880943" w:anchor="_Toc242880943" w:history="1">
            <w:r>
              <w:rPr>
                <w:rStyle w:val="1260"/>
                <w:rFonts w:cstheme="minorHAnsi"/>
              </w:rPr>
              <w:t xml:space="preserve">Analyse des offres</w:t>
            </w:r>
            <w:r>
              <w:tab/>
            </w:r>
            <w:r>
              <w:fldChar w:fldCharType="begin"/>
            </w:r>
            <w:r>
              <w:instrText xml:space="preserve"> PAGEREF _Toc242880943 \h </w:instrText>
            </w:r>
            <w:r/>
            <w:r>
              <w:fldChar w:fldCharType="separate"/>
            </w:r>
            <w:r>
              <w:t xml:space="preserve">11</w:t>
            </w:r>
            <w:r>
              <w:fldChar w:fldCharType="end"/>
            </w:r>
          </w:hyperlink>
          <w:r/>
          <w:r/>
        </w:p>
        <w:p w14:paraId="3EBE0AC8" w14:textId="74AB39D7">
          <w:pPr>
            <w:pStyle w:val="1287"/>
            <w:pBdr/>
            <w:spacing/>
            <w:ind/>
            <w:rPr/>
          </w:pPr>
          <w:r/>
          <w:hyperlink w:tooltip="#_Toc242880944" w:anchor="_Toc242880944" w:history="1">
            <w:r>
              <w:rPr>
                <w:rStyle w:val="1260"/>
                <w:rFonts w:cstheme="minorHAnsi"/>
              </w:rPr>
              <w:t xml:space="preserve">Rejet des offres irrégulières, inacceptables et inappropriées</w:t>
            </w:r>
            <w:r>
              <w:tab/>
            </w:r>
            <w:r>
              <w:fldChar w:fldCharType="begin"/>
            </w:r>
            <w:r>
              <w:instrText xml:space="preserve"> PAGEREF _Toc242880944 \h </w:instrText>
            </w:r>
            <w:r/>
            <w:r>
              <w:fldChar w:fldCharType="separate"/>
            </w:r>
            <w:r>
              <w:t xml:space="preserve">11</w:t>
            </w:r>
            <w:r>
              <w:fldChar w:fldCharType="end"/>
            </w:r>
          </w:hyperlink>
          <w:r/>
          <w:r/>
        </w:p>
        <w:p w14:paraId="1BB06151" w14:textId="58FDA417">
          <w:pPr>
            <w:pStyle w:val="1287"/>
            <w:pBdr/>
            <w:spacing/>
            <w:ind/>
            <w:rPr/>
          </w:pPr>
          <w:r/>
          <w:hyperlink w:tooltip="#_Toc242880945" w:anchor="_Toc242880945" w:history="1">
            <w:r>
              <w:rPr>
                <w:rStyle w:val="1260"/>
                <w:rFonts w:cstheme="minorHAnsi"/>
              </w:rPr>
              <w:t xml:space="preserve">Comparaison des offres pour sélection de l’offre économiquement la plus avantageuse</w:t>
            </w:r>
            <w:r>
              <w:tab/>
            </w:r>
            <w:r>
              <w:fldChar w:fldCharType="begin"/>
            </w:r>
            <w:r>
              <w:instrText xml:space="preserve"> PAGEREF _Toc242880945 \h </w:instrText>
            </w:r>
            <w:r/>
            <w:r>
              <w:fldChar w:fldCharType="separate"/>
            </w:r>
            <w:r>
              <w:t xml:space="preserve">11</w:t>
            </w:r>
            <w:r>
              <w:fldChar w:fldCharType="end"/>
            </w:r>
          </w:hyperlink>
          <w:r/>
          <w:r/>
        </w:p>
        <w:p w14:paraId="58921EEA" w14:textId="13E99EE4">
          <w:pPr>
            <w:pStyle w:val="1287"/>
            <w:pBdr/>
            <w:spacing/>
            <w:ind/>
            <w:rPr/>
          </w:pPr>
          <w:r/>
          <w:hyperlink w:tooltip="#_Toc242880946" w:anchor="_Toc242880946" w:history="1">
            <w:r>
              <w:rPr>
                <w:rStyle w:val="1260"/>
                <w:rFonts w:cstheme="minorHAnsi"/>
                <w:i/>
              </w:rPr>
              <w:t xml:space="preserve">Critère 1 : prix des prestations</w:t>
            </w:r>
            <w:r>
              <w:tab/>
            </w:r>
            <w:r>
              <w:fldChar w:fldCharType="begin"/>
            </w:r>
            <w:r>
              <w:instrText xml:space="preserve"> PAGEREF _Toc242880946 \h </w:instrText>
            </w:r>
            <w:r/>
            <w:r>
              <w:fldChar w:fldCharType="separate"/>
            </w:r>
            <w:r>
              <w:t xml:space="preserve">11</w:t>
            </w:r>
            <w:r>
              <w:fldChar w:fldCharType="end"/>
            </w:r>
          </w:hyperlink>
          <w:r/>
          <w:r/>
        </w:p>
        <w:p w14:paraId="78B8E393" w14:textId="1815A678">
          <w:pPr>
            <w:pStyle w:val="1287"/>
            <w:pBdr/>
            <w:spacing/>
            <w:ind/>
            <w:rPr/>
          </w:pPr>
          <w:r/>
          <w:hyperlink w:tooltip="#_Toc242880947" w:anchor="_Toc242880947" w:history="1">
            <w:r>
              <w:rPr>
                <w:rStyle w:val="1260"/>
                <w:rFonts w:cstheme="minorHAnsi"/>
                <w:i/>
              </w:rPr>
              <w:t xml:space="preserve">Critère 2 : Qualité technique</w:t>
            </w:r>
            <w:r>
              <w:tab/>
            </w:r>
            <w:r>
              <w:fldChar w:fldCharType="begin"/>
            </w:r>
            <w:r>
              <w:instrText xml:space="preserve"> PAGEREF _Toc242880947 \h </w:instrText>
            </w:r>
            <w:r/>
            <w:r>
              <w:fldChar w:fldCharType="separate"/>
            </w:r>
            <w:r>
              <w:t xml:space="preserve">11</w:t>
            </w:r>
            <w:r>
              <w:fldChar w:fldCharType="end"/>
            </w:r>
          </w:hyperlink>
          <w:r/>
          <w:r/>
        </w:p>
        <w:p w14:paraId="67FF862C" w14:textId="25B4C3EE">
          <w:pPr>
            <w:pStyle w:val="1287"/>
            <w:pBdr/>
            <w:spacing/>
            <w:ind/>
            <w:rPr/>
          </w:pPr>
          <w:r/>
          <w:hyperlink w:tooltip="#_Toc242880948" w:anchor="_Toc242880948" w:history="1">
            <w:r>
              <w:rPr>
                <w:rStyle w:val="1260"/>
                <w:rFonts w:cstheme="minorHAnsi"/>
              </w:rPr>
              <w:t xml:space="preserve">Négociations</w:t>
            </w:r>
            <w:r>
              <w:tab/>
            </w:r>
            <w:r>
              <w:fldChar w:fldCharType="begin"/>
            </w:r>
            <w:r>
              <w:instrText xml:space="preserve"> PAGEREF _Toc242880948 \h </w:instrText>
            </w:r>
            <w:r/>
            <w:r>
              <w:fldChar w:fldCharType="separate"/>
            </w:r>
            <w:r>
              <w:t xml:space="preserve">12</w:t>
            </w:r>
            <w:r>
              <w:fldChar w:fldCharType="end"/>
            </w:r>
          </w:hyperlink>
          <w:r/>
          <w:r/>
        </w:p>
        <w:p w14:paraId="50CB24EB" w14:textId="06540683">
          <w:pPr>
            <w:pStyle w:val="1287"/>
            <w:pBdr/>
            <w:spacing/>
            <w:ind/>
            <w:rPr/>
          </w:pPr>
          <w:r/>
          <w:hyperlink w:tooltip="#_Toc242880949" w:anchor="_Toc242880949" w:history="1">
            <w:r>
              <w:rPr>
                <w:rStyle w:val="1260"/>
                <w:rFonts w:cstheme="minorHAnsi"/>
                <w:i/>
              </w:rPr>
              <w:t xml:space="preserve">Audition des soumissionnaires – négociation des offres</w:t>
            </w:r>
            <w:r>
              <w:tab/>
            </w:r>
            <w:r>
              <w:fldChar w:fldCharType="begin"/>
            </w:r>
            <w:r>
              <w:instrText xml:space="preserve"> PAGEREF _Toc242880949 \h </w:instrText>
            </w:r>
            <w:r/>
            <w:r>
              <w:fldChar w:fldCharType="separate"/>
            </w:r>
            <w:r>
              <w:t xml:space="preserve">12</w:t>
            </w:r>
            <w:r>
              <w:fldChar w:fldCharType="end"/>
            </w:r>
          </w:hyperlink>
          <w:r/>
          <w:r/>
        </w:p>
        <w:p w14:paraId="1C542A88" w14:textId="089F52F4">
          <w:pPr>
            <w:pStyle w:val="1287"/>
            <w:pBdr/>
            <w:spacing/>
            <w:ind/>
            <w:rPr/>
          </w:pPr>
          <w:r/>
          <w:hyperlink w:tooltip="#_Toc242880950" w:anchor="_Toc242880950" w:history="1">
            <w:r>
              <w:rPr>
                <w:rStyle w:val="1260"/>
                <w:rFonts w:cstheme="minorHAnsi"/>
              </w:rPr>
              <w:t xml:space="preserve">Attribution</w:t>
            </w:r>
            <w:r>
              <w:tab/>
            </w:r>
            <w:r>
              <w:fldChar w:fldCharType="begin"/>
            </w:r>
            <w:r>
              <w:instrText xml:space="preserve"> PAGEREF _Toc242880950 \h </w:instrText>
            </w:r>
            <w:r/>
            <w:r>
              <w:fldChar w:fldCharType="separate"/>
            </w:r>
            <w:r>
              <w:t xml:space="preserve">13</w:t>
            </w:r>
            <w:r>
              <w:fldChar w:fldCharType="end"/>
            </w:r>
          </w:hyperlink>
          <w:r/>
          <w:r/>
        </w:p>
        <w:p w14:paraId="63F0711B" w14:textId="26CA2085">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51" w:anchor="_Toc242880951" w:history="1">
            <w:r>
              <w:rPr>
                <w:rStyle w:val="1260"/>
                <w:rFonts w:cstheme="minorHAnsi"/>
                <w:b/>
                <w:caps/>
              </w:rPr>
              <w:t xml:space="preserve">ARTICLE 7 :</w:t>
            </w:r>
            <w:r>
              <w:rPr>
                <w:rFonts w:asciiTheme="minorHAnsi" w:hAnsiTheme="minorHAnsi" w:eastAsiaTheme="minorEastAsia" w:cstheme="minorBidi"/>
                <w:sz w:val="22"/>
                <w:szCs w:val="22"/>
              </w:rPr>
              <w:tab/>
            </w:r>
            <w:r>
              <w:rPr>
                <w:rStyle w:val="1260"/>
                <w:rFonts w:cstheme="minorHAnsi"/>
                <w:b/>
                <w:caps/>
              </w:rPr>
              <w:t xml:space="preserve">Traitement des données à caractère personnel dans le cadre de la présente consultation et pour le suivi d’exécution du contrat</w:t>
            </w:r>
            <w:r>
              <w:tab/>
            </w:r>
            <w:r>
              <w:fldChar w:fldCharType="begin"/>
            </w:r>
            <w:r>
              <w:instrText xml:space="preserve"> PAGEREF _Toc242880951 \h </w:instrText>
            </w:r>
            <w:r/>
            <w:r>
              <w:fldChar w:fldCharType="separate"/>
            </w:r>
            <w:r>
              <w:t xml:space="preserve">13</w:t>
            </w:r>
            <w:r>
              <w:fldChar w:fldCharType="end"/>
            </w:r>
          </w:hyperlink>
          <w:r/>
          <w:r>
            <w:rPr>
              <w:rFonts w:asciiTheme="minorHAnsi" w:hAnsiTheme="minorHAnsi" w:eastAsiaTheme="minorEastAsia" w:cstheme="minorBidi"/>
              <w:sz w:val="22"/>
              <w:szCs w:val="22"/>
            </w:rPr>
          </w:r>
        </w:p>
        <w:p w14:paraId="1A300083" w14:textId="0BC07E93">
          <w:pPr>
            <w:pStyle w:val="1287"/>
            <w:pBdr/>
            <w:spacing/>
            <w:ind/>
            <w:rPr/>
          </w:pPr>
          <w:r/>
          <w:hyperlink w:tooltip="#_Toc242880952" w:anchor="_Toc242880952" w:history="1">
            <w:r>
              <w:rPr>
                <w:rStyle w:val="1260"/>
                <w:rFonts w:cstheme="minorHAnsi"/>
              </w:rPr>
              <w:t xml:space="preserve">Identité et coordonnées du responsable de traitement et de son représentant :</w:t>
            </w:r>
            <w:r>
              <w:tab/>
            </w:r>
            <w:r>
              <w:fldChar w:fldCharType="begin"/>
            </w:r>
            <w:r>
              <w:instrText xml:space="preserve"> PAGEREF _Toc242880952 \h </w:instrText>
            </w:r>
            <w:r/>
            <w:r>
              <w:fldChar w:fldCharType="separate"/>
            </w:r>
            <w:r>
              <w:t xml:space="preserve">13</w:t>
            </w:r>
            <w:r>
              <w:fldChar w:fldCharType="end"/>
            </w:r>
          </w:hyperlink>
          <w:r/>
          <w:r/>
        </w:p>
        <w:p w14:paraId="3E90640D" w14:textId="2A732618">
          <w:pPr>
            <w:pStyle w:val="1287"/>
            <w:pBdr/>
            <w:spacing/>
            <w:ind/>
            <w:rPr/>
          </w:pPr>
          <w:r/>
          <w:hyperlink w:tooltip="#_Toc242880953" w:anchor="_Toc242880953" w:history="1">
            <w:r>
              <w:rPr>
                <w:rStyle w:val="1260"/>
                <w:rFonts w:cstheme="minorHAnsi"/>
              </w:rPr>
              <w:t xml:space="preserve">Pour la plateforme PLACE :</w:t>
            </w:r>
            <w:r>
              <w:tab/>
            </w:r>
            <w:r>
              <w:fldChar w:fldCharType="begin"/>
            </w:r>
            <w:r>
              <w:instrText xml:space="preserve"> PAGEREF _Toc242880953 \h </w:instrText>
            </w:r>
            <w:r/>
            <w:r>
              <w:fldChar w:fldCharType="separate"/>
            </w:r>
            <w:r>
              <w:t xml:space="preserve">13</w:t>
            </w:r>
            <w:r>
              <w:fldChar w:fldCharType="end"/>
            </w:r>
          </w:hyperlink>
          <w:r/>
          <w:r/>
        </w:p>
        <w:p w14:paraId="445B24FC" w14:textId="35116C0A">
          <w:pPr>
            <w:pStyle w:val="1287"/>
            <w:pBdr/>
            <w:spacing/>
            <w:ind/>
            <w:rPr/>
          </w:pPr>
          <w:r/>
          <w:hyperlink w:tooltip="#_Toc242880954" w:anchor="_Toc242880954" w:history="1">
            <w:r>
              <w:rPr>
                <w:rStyle w:val="1260"/>
                <w:rFonts w:cstheme="minorHAnsi"/>
              </w:rPr>
              <w:t xml:space="preserve">Coordonnées du délégué à la protection des données personnelles :</w:t>
            </w:r>
            <w:r>
              <w:tab/>
            </w:r>
            <w:r>
              <w:fldChar w:fldCharType="begin"/>
            </w:r>
            <w:r>
              <w:instrText xml:space="preserve"> PAGEREF _Toc242880954 \h </w:instrText>
            </w:r>
            <w:r/>
            <w:r>
              <w:fldChar w:fldCharType="separate"/>
            </w:r>
            <w:r>
              <w:t xml:space="preserve">13</w:t>
            </w:r>
            <w:r>
              <w:fldChar w:fldCharType="end"/>
            </w:r>
          </w:hyperlink>
          <w:r/>
          <w:r/>
        </w:p>
        <w:p w14:paraId="77A69E5A" w14:textId="3075F0C1">
          <w:pPr>
            <w:pStyle w:val="1287"/>
            <w:pBdr/>
            <w:spacing/>
            <w:ind/>
            <w:rPr/>
          </w:pPr>
          <w:r/>
          <w:hyperlink w:tooltip="#_Toc242880955" w:anchor="_Toc242880955" w:history="1">
            <w:r>
              <w:rPr>
                <w:rStyle w:val="1260"/>
                <w:rFonts w:cstheme="minorHAnsi"/>
              </w:rPr>
              <w:t xml:space="preserve">Pour l’autorité contractante :</w:t>
            </w:r>
            <w:r>
              <w:tab/>
            </w:r>
            <w:r>
              <w:fldChar w:fldCharType="begin"/>
            </w:r>
            <w:r>
              <w:instrText xml:space="preserve"> PAGEREF _Toc242880955 \h </w:instrText>
            </w:r>
            <w:r/>
            <w:r>
              <w:fldChar w:fldCharType="separate"/>
            </w:r>
            <w:r>
              <w:t xml:space="preserve">13</w:t>
            </w:r>
            <w:r>
              <w:fldChar w:fldCharType="end"/>
            </w:r>
          </w:hyperlink>
          <w:r/>
          <w:r/>
        </w:p>
        <w:p w14:paraId="4E15D57C" w14:textId="2189724A">
          <w:pPr>
            <w:pStyle w:val="1287"/>
            <w:pBdr/>
            <w:spacing/>
            <w:ind/>
            <w:rPr/>
          </w:pPr>
          <w:r/>
          <w:hyperlink w:tooltip="#_Toc242880956" w:anchor="_Toc242880956" w:history="1">
            <w:r>
              <w:rPr>
                <w:rStyle w:val="1260"/>
                <w:rFonts w:cstheme="minorHAnsi"/>
              </w:rPr>
              <w:t xml:space="preserve">Coordonnées du délégué à la protection des données personnelles :</w:t>
            </w:r>
            <w:r>
              <w:tab/>
            </w:r>
            <w:r>
              <w:fldChar w:fldCharType="begin"/>
            </w:r>
            <w:r>
              <w:instrText xml:space="preserve"> PAGEREF _Toc242880956 \h </w:instrText>
            </w:r>
            <w:r/>
            <w:r>
              <w:fldChar w:fldCharType="separate"/>
            </w:r>
            <w:r>
              <w:t xml:space="preserve">14</w:t>
            </w:r>
            <w:r>
              <w:fldChar w:fldCharType="end"/>
            </w:r>
          </w:hyperlink>
          <w:r/>
          <w:r/>
        </w:p>
        <w:p w14:paraId="36ABDA60" w14:textId="7217B98D">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57" w:anchor="_Toc242880957" w:history="1">
            <w:r>
              <w:rPr>
                <w:rStyle w:val="1260"/>
                <w:rFonts w:cstheme="minorHAnsi"/>
                <w:b/>
                <w:caps/>
              </w:rPr>
              <w:t xml:space="preserve">ARTICLE 8 :</w:t>
            </w:r>
            <w:r>
              <w:rPr>
                <w:rFonts w:asciiTheme="minorHAnsi" w:hAnsiTheme="minorHAnsi" w:eastAsiaTheme="minorEastAsia" w:cstheme="minorBidi"/>
                <w:sz w:val="22"/>
                <w:szCs w:val="22"/>
              </w:rPr>
              <w:tab/>
            </w:r>
            <w:r>
              <w:rPr>
                <w:rStyle w:val="1260"/>
                <w:rFonts w:cstheme="minorHAnsi"/>
                <w:b/>
                <w:caps/>
              </w:rPr>
              <w:t xml:space="preserve">AUTRES RENSEIGNEMENTS</w:t>
            </w:r>
            <w:r>
              <w:tab/>
            </w:r>
            <w:r>
              <w:fldChar w:fldCharType="begin"/>
            </w:r>
            <w:r>
              <w:instrText xml:space="preserve"> PAGEREF _Toc242880957 \h </w:instrText>
            </w:r>
            <w:r/>
            <w:r>
              <w:fldChar w:fldCharType="separate"/>
            </w:r>
            <w:r>
              <w:t xml:space="preserve">14</w:t>
            </w:r>
            <w:r>
              <w:fldChar w:fldCharType="end"/>
            </w:r>
          </w:hyperlink>
          <w:r/>
          <w:r>
            <w:rPr>
              <w:rFonts w:asciiTheme="minorHAnsi" w:hAnsiTheme="minorHAnsi" w:eastAsiaTheme="minorEastAsia" w:cstheme="minorBidi"/>
              <w:sz w:val="22"/>
              <w:szCs w:val="22"/>
            </w:rPr>
          </w:r>
        </w:p>
        <w:p w14:paraId="79E57707" w14:textId="51BA60D3">
          <w:pPr>
            <w:pStyle w:val="1286"/>
            <w:pBdr/>
            <w:tabs>
              <w:tab w:val="left" w:leader="none" w:pos="1540"/>
              <w:tab w:val="right" w:leader="dot" w:pos="9329"/>
            </w:tabs>
            <w:spacing/>
            <w:ind/>
            <w:rPr>
              <w:rFonts w:asciiTheme="minorHAnsi" w:hAnsiTheme="minorHAnsi" w:eastAsiaTheme="minorEastAsia" w:cstheme="minorBidi"/>
              <w:sz w:val="22"/>
              <w:szCs w:val="22"/>
            </w:rPr>
          </w:pPr>
          <w:r/>
          <w:hyperlink w:tooltip="#_Toc242880958" w:anchor="_Toc242880958" w:history="1">
            <w:r>
              <w:rPr>
                <w:rStyle w:val="1260"/>
                <w:rFonts w:cstheme="minorHAnsi"/>
                <w:b/>
                <w:caps/>
              </w:rPr>
              <w:t xml:space="preserve">ARTICLE 9 :</w:t>
            </w:r>
            <w:r>
              <w:rPr>
                <w:rFonts w:asciiTheme="minorHAnsi" w:hAnsiTheme="minorHAnsi" w:eastAsiaTheme="minorEastAsia" w:cstheme="minorBidi"/>
                <w:sz w:val="22"/>
                <w:szCs w:val="22"/>
              </w:rPr>
              <w:tab/>
            </w:r>
            <w:r>
              <w:rPr>
                <w:rStyle w:val="1260"/>
                <w:rFonts w:cstheme="minorHAnsi"/>
                <w:b/>
                <w:caps/>
              </w:rPr>
              <w:t xml:space="preserve">Voies et délais de recours</w:t>
            </w:r>
            <w:r>
              <w:tab/>
            </w:r>
            <w:r>
              <w:fldChar w:fldCharType="begin"/>
            </w:r>
            <w:r>
              <w:instrText xml:space="preserve"> PAGEREF _Toc242880958 \h </w:instrText>
            </w:r>
            <w:r/>
            <w:r>
              <w:fldChar w:fldCharType="separate"/>
            </w:r>
            <w:r>
              <w:t xml:space="preserve">14</w:t>
            </w:r>
            <w:r>
              <w:fldChar w:fldCharType="end"/>
            </w:r>
          </w:hyperlink>
          <w:r/>
          <w:r>
            <w:rPr>
              <w:rFonts w:asciiTheme="minorHAnsi" w:hAnsiTheme="minorHAnsi" w:eastAsiaTheme="minorEastAsia" w:cstheme="minorBidi"/>
              <w:sz w:val="22"/>
              <w:szCs w:val="22"/>
            </w:rPr>
          </w:r>
        </w:p>
        <w:p w14:paraId="78145105" w14:textId="731445CB">
          <w:pPr>
            <w:pBdr/>
            <w:spacing/>
            <w:ind/>
            <w:rPr/>
          </w:pPr>
          <w:r>
            <w:rPr>
              <w:b/>
              <w:bCs/>
            </w:rPr>
            <w:fldChar w:fldCharType="end"/>
          </w:r>
          <w:r/>
        </w:p>
      </w:sdtContent>
    </w:sdt>
    <w:p w14:paraId="797FE39D" w14:textId="77777777">
      <w:pPr>
        <w:widowControl w:val="false"/>
        <w:pBdr/>
        <w:spacing/>
        <w:ind/>
        <w:rPr>
          <w:rFonts w:asciiTheme="minorHAnsi" w:hAnsiTheme="minorHAnsi" w:cstheme="minorHAnsi"/>
          <w:b/>
          <w:sz w:val="22"/>
          <w:szCs w:val="22"/>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h="16838" w:orient="portrait" w:w="11906"/>
          <w:pgMar w:top="902" w:right="1416" w:bottom="1616" w:left="1151" w:header="431" w:footer="567" w:gutter="0"/>
          <w:cols w:num="1" w:sep="0" w:space="708" w:equalWidth="1"/>
          <w:titlePg/>
        </w:sectPr>
      </w:pPr>
      <w:r>
        <w:rPr>
          <w:rFonts w:asciiTheme="minorHAnsi" w:hAnsiTheme="minorHAnsi" w:cstheme="minorHAnsi"/>
          <w:b/>
          <w:sz w:val="22"/>
          <w:szCs w:val="22"/>
        </w:rPr>
      </w:r>
      <w:r>
        <w:rPr>
          <w:rFonts w:asciiTheme="minorHAnsi" w:hAnsiTheme="minorHAnsi" w:cstheme="minorHAnsi"/>
          <w:b/>
          <w:sz w:val="22"/>
          <w:szCs w:val="22"/>
        </w:rPr>
      </w:r>
    </w:p>
    <w:p w14:paraId="3A4BFD90"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2" w:name="_Toc242880905"/>
      <w:r>
        <w:rPr>
          <w:rFonts w:asciiTheme="minorHAnsi" w:hAnsiTheme="minorHAnsi" w:cstheme="minorHAnsi"/>
          <w:b/>
          <w:caps/>
          <w:sz w:val="28"/>
          <w:szCs w:val="22"/>
          <w:u w:val="single"/>
        </w:rPr>
        <w:t xml:space="preserve">Objet et étendue de la consultation</w:t>
      </w:r>
      <w:bookmarkEnd w:id="2"/>
      <w:r/>
      <w:r>
        <w:rPr>
          <w:rFonts w:asciiTheme="minorHAnsi" w:hAnsiTheme="minorHAnsi" w:cstheme="minorHAnsi"/>
          <w:b/>
          <w:caps/>
          <w:sz w:val="28"/>
          <w:szCs w:val="22"/>
          <w:u w:val="single"/>
        </w:rPr>
      </w:r>
    </w:p>
    <w:p w14:paraId="104B5D26" w14:textId="77777777">
      <w:pPr>
        <w:pStyle w:val="1073"/>
        <w:pBdr/>
        <w:spacing w:after="120" w:before="120" w:line="240" w:lineRule="auto"/>
        <w:ind/>
        <w:jc w:val="both"/>
        <w:rPr>
          <w:rFonts w:asciiTheme="minorHAnsi" w:hAnsiTheme="minorHAnsi" w:cstheme="minorHAnsi"/>
          <w:sz w:val="22"/>
          <w:szCs w:val="22"/>
          <w:u w:val="single"/>
        </w:rPr>
      </w:pPr>
      <w:r/>
      <w:bookmarkStart w:id="3" w:name="_Toc242880906"/>
      <w:r>
        <w:rPr>
          <w:rFonts w:asciiTheme="minorHAnsi" w:hAnsiTheme="minorHAnsi" w:cstheme="minorHAnsi"/>
          <w:sz w:val="22"/>
          <w:szCs w:val="22"/>
          <w:u w:val="single"/>
        </w:rPr>
        <w:t xml:space="preserve">Objet de la consultation</w:t>
      </w:r>
      <w:bookmarkEnd w:id="3"/>
      <w:r/>
      <w:r>
        <w:rPr>
          <w:rFonts w:asciiTheme="minorHAnsi" w:hAnsiTheme="minorHAnsi" w:cstheme="minorHAnsi"/>
          <w:sz w:val="22"/>
          <w:szCs w:val="22"/>
          <w:u w:val="single"/>
        </w:rPr>
      </w:r>
    </w:p>
    <w:p w14:paraId="36413A7F" w14:textId="77777777">
      <w:pPr>
        <w:pStyle w:val="1264"/>
        <w:pBdr/>
        <w:spacing w:before="120"/>
        <w:ind w:left="0"/>
        <w:rPr>
          <w:rFonts w:asciiTheme="minorHAnsi" w:hAnsiTheme="minorHAnsi" w:cstheme="minorHAnsi"/>
          <w:szCs w:val="22"/>
        </w:rPr>
      </w:pPr>
      <w:r>
        <w:rPr>
          <w:rFonts w:asciiTheme="minorHAnsi" w:hAnsiTheme="minorHAnsi" w:cstheme="minorHAnsi"/>
          <w:szCs w:val="22"/>
        </w:rPr>
        <w:t xml:space="preserve">La consultation porte sur la passation d’un contrat de service ayant pour objet la « </w:t>
      </w:r>
      <w:r>
        <w:rPr>
          <w:rFonts w:asciiTheme="minorHAnsi" w:hAnsiTheme="minorHAnsi" w:cstheme="minorHAnsi"/>
          <w:b/>
          <w:i/>
          <w:iCs/>
          <w:szCs w:val="22"/>
        </w:rPr>
        <w:t xml:space="preserve">Appui à l’élaboration du plan d’action et de financement de l’économie bleue du Togo </w:t>
      </w:r>
      <w:r>
        <w:rPr>
          <w:rFonts w:asciiTheme="minorHAnsi" w:hAnsiTheme="minorHAnsi" w:cstheme="minorHAnsi"/>
          <w:i/>
          <w:iCs/>
          <w:szCs w:val="22"/>
        </w:rPr>
        <w:t xml:space="preserve">».</w:t>
      </w:r>
      <w:r>
        <w:rPr>
          <w:rFonts w:asciiTheme="minorHAnsi" w:hAnsiTheme="minorHAnsi" w:cstheme="minorHAnsi"/>
          <w:szCs w:val="22"/>
        </w:rPr>
      </w:r>
    </w:p>
    <w:p w14:paraId="7F6DDCBF"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L’étendue des besoins à couvrir sont décrits dans le Cahier de charges.</w:t>
      </w:r>
      <w:r>
        <w:rPr>
          <w:rFonts w:asciiTheme="minorHAnsi" w:hAnsiTheme="minorHAnsi" w:cstheme="minorHAnsi"/>
          <w:sz w:val="22"/>
          <w:szCs w:val="22"/>
        </w:rPr>
      </w:r>
    </w:p>
    <w:p w14:paraId="34BA7796" w14:textId="77777777">
      <w:pPr>
        <w:pStyle w:val="1073"/>
        <w:pBdr/>
        <w:spacing w:after="120" w:before="120" w:line="240" w:lineRule="auto"/>
        <w:ind/>
        <w:jc w:val="both"/>
        <w:rPr>
          <w:rFonts w:asciiTheme="minorHAnsi" w:hAnsiTheme="minorHAnsi" w:cstheme="minorHAnsi"/>
          <w:sz w:val="22"/>
          <w:szCs w:val="22"/>
          <w:u w:val="single"/>
        </w:rPr>
      </w:pPr>
      <w:r/>
      <w:bookmarkStart w:id="4" w:name="_Toc242880907"/>
      <w:r>
        <w:rPr>
          <w:rFonts w:asciiTheme="minorHAnsi" w:hAnsiTheme="minorHAnsi" w:cstheme="minorHAnsi"/>
          <w:sz w:val="22"/>
          <w:szCs w:val="22"/>
          <w:u w:val="single"/>
        </w:rPr>
        <w:t xml:space="preserve">Etendue de la consultation</w:t>
      </w:r>
      <w:bookmarkEnd w:id="4"/>
      <w:r/>
      <w:r>
        <w:rPr>
          <w:rFonts w:asciiTheme="minorHAnsi" w:hAnsiTheme="minorHAnsi" w:cstheme="minorHAnsi"/>
          <w:sz w:val="22"/>
          <w:szCs w:val="22"/>
          <w:u w:val="single"/>
        </w:rPr>
      </w:r>
    </w:p>
    <w:p w14:paraId="708A740E" w14:textId="77777777">
      <w:pPr>
        <w:pStyle w:val="1264"/>
        <w:pBdr/>
        <w:spacing w:before="120"/>
        <w:ind w:left="0"/>
        <w:rPr>
          <w:rFonts w:asciiTheme="minorHAnsi" w:hAnsiTheme="minorHAnsi" w:cstheme="minorHAnsi"/>
          <w:szCs w:val="22"/>
        </w:rPr>
      </w:pPr>
      <w:r>
        <w:rPr>
          <w:rFonts w:asciiTheme="minorHAnsi" w:hAnsiTheme="minorHAnsi" w:cstheme="minorHAnsi"/>
          <w:szCs w:val="22"/>
        </w:rPr>
        <w:t xml:space="preserve">Le présent contrat est soumis au Code de la commande publique (CCP)</w:t>
      </w:r>
      <w:r>
        <w:rPr>
          <w:rFonts w:asciiTheme="minorHAnsi" w:hAnsiTheme="minorHAnsi" w:cstheme="minorHAnsi"/>
        </w:rPr>
        <w:t xml:space="preserve"> </w:t>
      </w:r>
      <w:r>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r>
        <w:rPr>
          <w:rFonts w:asciiTheme="minorHAnsi" w:hAnsiTheme="minorHAnsi" w:cstheme="minorHAnsi"/>
          <w:szCs w:val="22"/>
        </w:rPr>
      </w:r>
    </w:p>
    <w:p w14:paraId="0A9330A1" w14:textId="77777777">
      <w:pPr>
        <w:pStyle w:val="1264"/>
        <w:pBdr/>
        <w:spacing w:before="120"/>
        <w:ind w:left="0"/>
        <w:rPr>
          <w:rFonts w:asciiTheme="minorHAnsi" w:hAnsiTheme="minorHAnsi" w:cstheme="minorHAnsi"/>
          <w:szCs w:val="22"/>
        </w:rPr>
      </w:pPr>
      <w:r>
        <w:rPr>
          <w:rFonts w:asciiTheme="minorHAnsi" w:hAnsiTheme="minorHAnsi" w:cstheme="minorHAnsi"/>
          <w:szCs w:val="22"/>
        </w:rPr>
        <w:t xml:space="preserve">Il est passé par une procédure adaptée en application des articles L. 2123-1 et R. 2123-1 au R. 2123-7 du CCP.</w:t>
      </w:r>
      <w:r>
        <w:rPr>
          <w:rFonts w:asciiTheme="minorHAnsi" w:hAnsiTheme="minorHAnsi" w:cstheme="minorHAnsi"/>
          <w:szCs w:val="22"/>
        </w:rPr>
      </w:r>
    </w:p>
    <w:p w14:paraId="4BBD478F" w14:textId="77777777">
      <w:pPr>
        <w:pStyle w:val="1073"/>
        <w:pBdr/>
        <w:spacing w:after="120" w:before="120" w:line="240" w:lineRule="auto"/>
        <w:ind/>
        <w:jc w:val="both"/>
        <w:rPr>
          <w:rFonts w:asciiTheme="minorHAnsi" w:hAnsiTheme="minorHAnsi" w:cstheme="minorHAnsi"/>
          <w:sz w:val="22"/>
          <w:szCs w:val="22"/>
          <w:u w:val="single"/>
        </w:rPr>
      </w:pPr>
      <w:r/>
      <w:bookmarkStart w:id="5" w:name="_Toc242880908"/>
      <w:r>
        <w:rPr>
          <w:rFonts w:asciiTheme="minorHAnsi" w:hAnsiTheme="minorHAnsi" w:cstheme="minorHAnsi"/>
          <w:sz w:val="22"/>
          <w:szCs w:val="22"/>
          <w:u w:val="single"/>
        </w:rPr>
        <w:t xml:space="preserve">Calendrier prévisionnel de la consultation</w:t>
      </w:r>
      <w:bookmarkEnd w:id="5"/>
      <w:r>
        <w:rPr>
          <w:rFonts w:asciiTheme="minorHAnsi" w:hAnsiTheme="minorHAnsi" w:cstheme="minorHAnsi"/>
          <w:sz w:val="22"/>
          <w:szCs w:val="22"/>
          <w:u w:val="single"/>
        </w:rPr>
        <w:t xml:space="preserve"> </w:t>
      </w:r>
      <w:r>
        <w:rPr>
          <w:rFonts w:asciiTheme="minorHAnsi" w:hAnsiTheme="minorHAnsi" w:cstheme="minorHAnsi"/>
          <w:sz w:val="22"/>
          <w:szCs w:val="22"/>
          <w:u w:val="single"/>
        </w:rPr>
      </w:r>
    </w:p>
    <w:tbl>
      <w:tblPr>
        <w:tblStyle w:val="1284"/>
        <w:tblW w:w="0" w:type="auto"/>
        <w:tblBorders/>
        <w:tblLook w:val="04A0" w:firstRow="1" w:lastRow="0" w:firstColumn="1" w:lastColumn="0" w:noHBand="0" w:noVBand="1"/>
      </w:tblPr>
      <w:tblGrid>
        <w:gridCol w:w="1696"/>
        <w:gridCol w:w="6237"/>
      </w:tblGrid>
      <w:tr>
        <w:trPr/>
        <w:tc>
          <w:tcPr>
            <w:tcBorders>
              <w:top w:val="single" w:color="auto" w:sz="4" w:space="0"/>
              <w:left w:val="single" w:color="auto" w:sz="4" w:space="0"/>
              <w:bottom w:val="single" w:color="auto" w:sz="4" w:space="0"/>
              <w:right w:val="single" w:color="auto" w:sz="4" w:space="0"/>
            </w:tcBorders>
            <w:tcW w:w="1696" w:type="dxa"/>
            <w:textDirection w:val="lrTb"/>
            <w:noWrap w:val="false"/>
          </w:tcPr>
          <w:p w14:paraId="376F2632" w14:textId="77777777">
            <w:pPr>
              <w:pBdr/>
              <w:spacing w:line="240" w:lineRule="auto"/>
              <w:ind/>
              <w:jc w:val="center"/>
              <w:rPr>
                <w:rFonts w:asciiTheme="minorHAnsi" w:hAnsiTheme="minorHAnsi" w:cstheme="minorHAnsi"/>
                <w:b/>
                <w:sz w:val="22"/>
                <w:szCs w:val="22"/>
              </w:rPr>
            </w:pPr>
            <w:r/>
            <w:bookmarkStart w:id="6" w:name="_Hlk241226758"/>
            <w:r>
              <w:rPr>
                <w:rFonts w:asciiTheme="minorHAnsi" w:hAnsiTheme="minorHAnsi" w:cstheme="minorHAnsi"/>
                <w:b/>
                <w:sz w:val="22"/>
                <w:szCs w:val="22"/>
              </w:rPr>
              <w:t xml:space="preserve">Date estimative</w:t>
            </w:r>
            <w:r>
              <w:rPr>
                <w:rFonts w:asciiTheme="minorHAnsi" w:hAnsiTheme="minorHAnsi" w:cstheme="minorHAnsi"/>
                <w:b/>
                <w:sz w:val="22"/>
                <w:szCs w:val="22"/>
              </w:rPr>
            </w:r>
          </w:p>
        </w:tc>
        <w:tc>
          <w:tcPr>
            <w:tcBorders>
              <w:top w:val="single" w:color="auto" w:sz="4" w:space="0"/>
              <w:left w:val="single" w:color="auto" w:sz="4" w:space="0"/>
              <w:bottom w:val="single" w:color="auto" w:sz="4" w:space="0"/>
              <w:right w:val="single" w:color="auto" w:sz="4" w:space="0"/>
            </w:tcBorders>
            <w:tcW w:w="6237" w:type="dxa"/>
            <w:textDirection w:val="lrTb"/>
            <w:noWrap w:val="false"/>
          </w:tcPr>
          <w:p w14:paraId="3E191F8F" w14:textId="77777777">
            <w:pPr>
              <w:pBdr/>
              <w:spacing w:line="240" w:lineRule="auto"/>
              <w:ind/>
              <w:jc w:val="both"/>
              <w:rPr>
                <w:rFonts w:asciiTheme="minorHAnsi" w:hAnsiTheme="minorHAnsi" w:cstheme="minorHAnsi"/>
                <w:b/>
                <w:sz w:val="22"/>
                <w:szCs w:val="22"/>
              </w:rPr>
            </w:pPr>
            <w:r>
              <w:rPr>
                <w:rFonts w:asciiTheme="minorHAnsi" w:hAnsiTheme="minorHAnsi" w:cstheme="minorHAnsi"/>
                <w:b/>
                <w:sz w:val="22"/>
                <w:szCs w:val="22"/>
              </w:rPr>
              <w:t xml:space="preserve">Etape</w:t>
            </w:r>
            <w:r>
              <w:rPr>
                <w:rFonts w:asciiTheme="minorHAnsi" w:hAnsiTheme="minorHAnsi" w:cstheme="minorHAnsi"/>
                <w:b/>
                <w:sz w:val="22"/>
                <w:szCs w:val="22"/>
              </w:rP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14:paraId="7CB98E0F" w14:textId="16AA01FB">
            <w:pPr>
              <w:pBdr/>
              <w:spacing w:line="240" w:lineRule="auto"/>
              <w:ind/>
              <w:rPr>
                <w:rFonts w:asciiTheme="minorHAnsi" w:hAnsiTheme="minorHAnsi" w:cstheme="minorBidi"/>
                <w:sz w:val="22"/>
                <w:szCs w:val="22"/>
              </w:rPr>
            </w:pPr>
            <w:r>
              <w:rPr>
                <w:rFonts w:asciiTheme="minorHAnsi" w:hAnsiTheme="minorHAnsi" w:cstheme="minorBidi"/>
                <w:sz w:val="22"/>
                <w:szCs w:val="22"/>
              </w:rPr>
              <w:t xml:space="preserve">06/11/2026</w:t>
            </w:r>
            <w:r>
              <w:rPr>
                <w:rFonts w:asciiTheme="minorHAnsi" w:hAnsiTheme="minorHAnsi" w:cstheme="minorBidi"/>
                <w:sz w:val="22"/>
                <w:szCs w:val="22"/>
              </w:rP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14:paraId="758BD02E"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Date limite de réception des offres</w:t>
            </w:r>
            <w:r>
              <w:rPr>
                <w:rFonts w:asciiTheme="minorHAnsi" w:hAnsiTheme="minorHAnsi" w:cstheme="minorHAnsi"/>
                <w:sz w:val="22"/>
                <w:szCs w:val="22"/>
              </w:rP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14:paraId="15E625CC" w14:textId="71368225">
            <w:pPr>
              <w:pBdr/>
              <w:spacing w:line="240" w:lineRule="auto"/>
              <w:ind/>
              <w:rPr>
                <w:rFonts w:asciiTheme="minorHAnsi" w:hAnsiTheme="minorHAnsi" w:cstheme="minorBidi"/>
                <w:sz w:val="22"/>
                <w:szCs w:val="22"/>
              </w:rPr>
            </w:pPr>
            <w:r>
              <w:rPr>
                <w:rFonts w:asciiTheme="minorHAnsi" w:hAnsiTheme="minorHAnsi" w:cstheme="minorBidi"/>
                <w:sz w:val="22"/>
                <w:szCs w:val="22"/>
              </w:rPr>
              <w:t xml:space="preserve">Semaine du 16 novembre 2026</w:t>
            </w:r>
            <w:r>
              <w:rPr>
                <w:rFonts w:asciiTheme="minorHAnsi" w:hAnsiTheme="minorHAnsi" w:cstheme="minorBidi"/>
                <w:sz w:val="22"/>
                <w:szCs w:val="22"/>
              </w:rP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14:paraId="3944B4B6"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Audition / Négociation des offres et demandes d’offres optimisées</w:t>
            </w:r>
            <w:r>
              <w:rPr>
                <w:rFonts w:asciiTheme="minorHAnsi" w:hAnsiTheme="minorHAnsi" w:cstheme="minorHAnsi"/>
                <w:sz w:val="22"/>
                <w:szCs w:val="22"/>
              </w:rP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14:paraId="6A9E4F61" w14:textId="29987BBE">
            <w:pPr>
              <w:pBdr/>
              <w:spacing w:line="240" w:lineRule="auto"/>
              <w:ind/>
              <w:rPr>
                <w:rFonts w:asciiTheme="minorHAnsi" w:hAnsiTheme="minorHAnsi" w:cstheme="minorBidi"/>
                <w:sz w:val="22"/>
                <w:szCs w:val="22"/>
              </w:rPr>
            </w:pPr>
            <w:r>
              <w:rPr>
                <w:rFonts w:asciiTheme="minorHAnsi" w:hAnsiTheme="minorHAnsi" w:cstheme="minorBidi"/>
                <w:sz w:val="22"/>
                <w:szCs w:val="22"/>
              </w:rPr>
              <w:t xml:space="preserve">Semaine du 16 novembre 2026</w:t>
            </w:r>
            <w:r>
              <w:rPr>
                <w:rFonts w:asciiTheme="minorHAnsi" w:hAnsiTheme="minorHAnsi" w:cstheme="minorBidi"/>
                <w:sz w:val="22"/>
                <w:szCs w:val="22"/>
              </w:rP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14:paraId="56582776"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Date limite de réception des offres optimisées</w:t>
            </w:r>
            <w:r>
              <w:rPr>
                <w:rFonts w:asciiTheme="minorHAnsi" w:hAnsiTheme="minorHAnsi" w:cstheme="minorHAnsi"/>
                <w:sz w:val="22"/>
                <w:szCs w:val="22"/>
              </w:rP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14:paraId="76069D35" w14:textId="62AA98C3">
            <w:pPr>
              <w:pBdr/>
              <w:spacing w:line="240" w:lineRule="auto"/>
              <w:ind/>
              <w:rPr>
                <w:rFonts w:asciiTheme="minorHAnsi" w:hAnsiTheme="minorHAnsi" w:cstheme="minorBidi"/>
                <w:sz w:val="22"/>
                <w:szCs w:val="22"/>
              </w:rPr>
            </w:pPr>
            <w:r>
              <w:rPr>
                <w:rFonts w:asciiTheme="minorHAnsi" w:hAnsiTheme="minorHAnsi" w:cstheme="minorBidi"/>
                <w:sz w:val="22"/>
                <w:szCs w:val="22"/>
              </w:rPr>
              <w:t xml:space="preserve">Semaine du 26 novembre 2026</w:t>
            </w:r>
            <w:r>
              <w:rPr>
                <w:rFonts w:asciiTheme="minorHAnsi" w:hAnsiTheme="minorHAnsi" w:cstheme="minorBidi"/>
                <w:sz w:val="22"/>
                <w:szCs w:val="22"/>
              </w:rP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14:paraId="76C9F908"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Envoi des courriers de rejet aux candidats non retenus</w:t>
            </w:r>
            <w:r>
              <w:rPr>
                <w:rFonts w:asciiTheme="minorHAnsi" w:hAnsiTheme="minorHAnsi" w:cstheme="minorHAnsi"/>
                <w:sz w:val="22"/>
                <w:szCs w:val="22"/>
              </w:rP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14:paraId="2F63B7E4" w14:textId="470E2BDB">
            <w:pPr>
              <w:pBdr/>
              <w:spacing w:line="240" w:lineRule="auto"/>
              <w:ind/>
              <w:rPr>
                <w:rFonts w:asciiTheme="minorHAnsi" w:hAnsiTheme="minorHAnsi" w:cstheme="minorBidi"/>
                <w:sz w:val="22"/>
                <w:szCs w:val="22"/>
              </w:rPr>
            </w:pPr>
            <w:r>
              <w:rPr>
                <w:rFonts w:asciiTheme="minorHAnsi" w:hAnsiTheme="minorHAnsi" w:cstheme="minorBidi"/>
                <w:sz w:val="22"/>
                <w:szCs w:val="22"/>
              </w:rPr>
              <w:t xml:space="preserve">Semaine du 30 novembre 2026</w:t>
            </w:r>
            <w:r>
              <w:rPr>
                <w:rFonts w:asciiTheme="minorHAnsi" w:hAnsiTheme="minorHAnsi" w:cstheme="minorBidi"/>
                <w:sz w:val="22"/>
                <w:szCs w:val="22"/>
              </w:rP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14:paraId="1F9273E8"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Notification du marché</w:t>
            </w:r>
            <w:r>
              <w:rPr>
                <w:rFonts w:asciiTheme="minorHAnsi" w:hAnsiTheme="minorHAnsi" w:cstheme="minorHAnsi"/>
                <w:sz w:val="22"/>
                <w:szCs w:val="22"/>
              </w:rPr>
            </w:r>
          </w:p>
        </w:tc>
      </w:tr>
    </w:tbl>
    <w:p w14:paraId="3E82184D" w14:textId="77777777">
      <w:pPr>
        <w:pStyle w:val="1073"/>
        <w:pBdr/>
        <w:spacing w:after="120" w:before="120" w:line="240" w:lineRule="auto"/>
        <w:ind/>
        <w:jc w:val="both"/>
        <w:rPr>
          <w:rFonts w:asciiTheme="minorHAnsi" w:hAnsiTheme="minorHAnsi" w:cstheme="minorHAnsi"/>
          <w:sz w:val="22"/>
          <w:szCs w:val="22"/>
          <w:u w:val="single"/>
        </w:rPr>
      </w:pPr>
      <w:r/>
      <w:bookmarkStart w:id="7" w:name="_Toc242880909"/>
      <w:r/>
      <w:bookmarkEnd w:id="6"/>
      <w:r>
        <w:rPr>
          <w:rFonts w:asciiTheme="minorHAnsi" w:hAnsiTheme="minorHAnsi" w:cstheme="minorHAnsi"/>
          <w:sz w:val="22"/>
          <w:szCs w:val="22"/>
          <w:u w:val="single"/>
        </w:rPr>
        <w:t xml:space="preserve">Langue de la consultation – unité monétaire</w:t>
      </w:r>
      <w:bookmarkEnd w:id="7"/>
      <w:r/>
      <w:r>
        <w:rPr>
          <w:rFonts w:asciiTheme="minorHAnsi" w:hAnsiTheme="minorHAnsi" w:cstheme="minorHAnsi"/>
          <w:sz w:val="22"/>
          <w:szCs w:val="22"/>
          <w:u w:val="single"/>
        </w:rPr>
      </w:r>
    </w:p>
    <w:p w14:paraId="1FEB221C"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L’ensemble des documents de la présente consultation doivent être rédigés en langue française. </w:t>
      </w:r>
      <w:r>
        <w:rPr>
          <w:rFonts w:asciiTheme="minorHAnsi" w:hAnsiTheme="minorHAnsi" w:cstheme="minorHAnsi"/>
          <w:sz w:val="22"/>
          <w:szCs w:val="22"/>
        </w:rPr>
      </w:r>
    </w:p>
    <w:p w14:paraId="1A88416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Pouvoir adjudicateur conclura les marchés dans l’unité monétaire suivante : euro (€).</w:t>
      </w:r>
      <w:r>
        <w:rPr>
          <w:rFonts w:asciiTheme="minorHAnsi" w:hAnsiTheme="minorHAnsi" w:cstheme="minorHAnsi"/>
          <w:sz w:val="22"/>
          <w:szCs w:val="22"/>
        </w:rPr>
      </w:r>
    </w:p>
    <w:p w14:paraId="7840B20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64F997B1" w14:textId="77777777">
      <w:pPr>
        <w:pStyle w:val="1073"/>
        <w:pBdr/>
        <w:spacing w:after="120" w:before="120" w:line="240" w:lineRule="auto"/>
        <w:ind/>
        <w:jc w:val="both"/>
        <w:rPr>
          <w:rFonts w:asciiTheme="minorHAnsi" w:hAnsiTheme="minorHAnsi" w:cstheme="minorHAnsi"/>
          <w:sz w:val="22"/>
          <w:szCs w:val="22"/>
          <w:u w:val="single"/>
        </w:rPr>
      </w:pPr>
      <w:r/>
      <w:bookmarkStart w:id="8" w:name="_Toc242880910"/>
      <w:r>
        <w:rPr>
          <w:rFonts w:asciiTheme="minorHAnsi" w:hAnsiTheme="minorHAnsi" w:cstheme="minorHAnsi"/>
          <w:sz w:val="22"/>
          <w:szCs w:val="22"/>
          <w:u w:val="single"/>
        </w:rPr>
        <w:t xml:space="preserve">Composition du dossier de consultation</w:t>
      </w:r>
      <w:bookmarkEnd w:id="8"/>
      <w:r/>
      <w:r>
        <w:rPr>
          <w:rFonts w:asciiTheme="minorHAnsi" w:hAnsiTheme="minorHAnsi" w:cstheme="minorHAnsi"/>
          <w:sz w:val="22"/>
          <w:szCs w:val="22"/>
          <w:u w:val="single"/>
        </w:rPr>
      </w:r>
    </w:p>
    <w:p w14:paraId="563D5E81"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dossier de consultation est composé des documents suivants :</w:t>
      </w:r>
      <w:r>
        <w:rPr>
          <w:rFonts w:asciiTheme="minorHAnsi" w:hAnsiTheme="minorHAnsi" w:cstheme="minorHAnsi"/>
          <w:sz w:val="22"/>
          <w:szCs w:val="22"/>
        </w:rPr>
      </w:r>
    </w:p>
    <w:p w14:paraId="0B5F68B6" w14:textId="77777777">
      <w:pPr>
        <w:pStyle w:val="1265"/>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présent Règlement de la consultation (R.C.)</w:t>
      </w:r>
      <w:r>
        <w:rPr>
          <w:rFonts w:asciiTheme="minorHAnsi" w:hAnsiTheme="minorHAnsi" w:cstheme="minorHAnsi"/>
          <w:szCs w:val="22"/>
        </w:rPr>
      </w:r>
    </w:p>
    <w:p w14:paraId="6640CC88" w14:textId="77777777">
      <w:pPr>
        <w:pStyle w:val="1265"/>
        <w:widowControl w:val="false"/>
        <w:numPr>
          <w:ilvl w:val="0"/>
          <w:numId w:val="7"/>
        </w:numPr>
        <w:pBdr/>
        <w:spacing/>
        <w:ind/>
        <w:rPr>
          <w:rFonts w:asciiTheme="minorHAnsi" w:hAnsiTheme="minorHAnsi" w:cstheme="minorHAnsi"/>
          <w:szCs w:val="22"/>
        </w:rPr>
      </w:pPr>
      <w:r>
        <w:rPr>
          <w:rFonts w:asciiTheme="minorHAnsi" w:hAnsiTheme="minorHAnsi" w:cstheme="minorHAnsi"/>
          <w:szCs w:val="22"/>
        </w:rPr>
        <w:t xml:space="preserve">Le cahier des charges et ses éventuelles annexes ;</w:t>
      </w:r>
      <w:r>
        <w:rPr>
          <w:rFonts w:asciiTheme="minorHAnsi" w:hAnsiTheme="minorHAnsi" w:cstheme="minorHAnsi"/>
          <w:szCs w:val="22"/>
        </w:rPr>
      </w:r>
    </w:p>
    <w:p w14:paraId="5EF36302" w14:textId="77777777">
      <w:pPr>
        <w:pStyle w:val="1291"/>
        <w:numPr>
          <w:ilvl w:val="0"/>
          <w:numId w:val="7"/>
        </w:numPr>
        <w:pBdr/>
        <w:spacing w:line="240" w:lineRule="auto"/>
        <w:ind w:hanging="357" w:left="714"/>
        <w:jc w:val="both"/>
        <w:rPr>
          <w:rFonts w:asciiTheme="minorHAnsi" w:hAnsiTheme="minorHAnsi" w:cstheme="minorHAnsi"/>
          <w:szCs w:val="22"/>
        </w:rPr>
      </w:pPr>
      <w:r>
        <w:rPr>
          <w:rFonts w:asciiTheme="minorHAnsi" w:hAnsiTheme="minorHAnsi" w:cstheme="minorHAnsi"/>
          <w:color w:val="000000"/>
          <w:sz w:val="22"/>
          <w:szCs w:val="22"/>
        </w:rPr>
        <w:t xml:space="preserve">Le projet de contrat (conditions particulières et conditions générales) et ses éventuelles annexes ;</w:t>
      </w:r>
      <w:r>
        <w:rPr>
          <w:rFonts w:asciiTheme="minorHAnsi" w:hAnsiTheme="minorHAnsi" w:cstheme="minorHAnsi"/>
          <w:szCs w:val="22"/>
        </w:rPr>
        <w:t xml:space="preserve"> </w:t>
      </w:r>
      <w:r>
        <w:rPr>
          <w:rFonts w:asciiTheme="minorHAnsi" w:hAnsiTheme="minorHAnsi" w:cstheme="minorHAnsi"/>
          <w:szCs w:val="22"/>
        </w:rPr>
      </w:r>
    </w:p>
    <w:p w14:paraId="3A2A2941" w14:textId="77777777">
      <w:pPr>
        <w:pStyle w:val="1265"/>
        <w:widowControl w:val="false"/>
        <w:numPr>
          <w:ilvl w:val="0"/>
          <w:numId w:val="7"/>
        </w:numPr>
        <w:pBdr/>
        <w:spacing/>
        <w:ind/>
        <w:rPr>
          <w:rFonts w:asciiTheme="minorHAnsi" w:hAnsiTheme="minorHAnsi" w:cstheme="minorHAnsi"/>
        </w:rPr>
      </w:pPr>
      <w:r>
        <w:rPr>
          <w:rFonts w:asciiTheme="minorHAnsi" w:hAnsiTheme="minorHAnsi" w:cstheme="minorHAnsi"/>
          <w:color w:val="000000"/>
          <w:szCs w:val="22"/>
        </w:rPr>
        <w:t xml:space="preserve">Le cadr</w:t>
      </w:r>
      <w:r>
        <w:rPr>
          <w:rFonts w:asciiTheme="minorHAnsi" w:hAnsiTheme="minorHAnsi" w:cstheme="minorHAnsi"/>
        </w:rPr>
        <w:t xml:space="preserve">e de réponse technique et financier ;</w:t>
      </w:r>
      <w:r>
        <w:rPr>
          <w:rFonts w:asciiTheme="minorHAnsi" w:hAnsiTheme="minorHAnsi" w:cstheme="minorHAnsi"/>
        </w:rPr>
      </w:r>
    </w:p>
    <w:p w14:paraId="7E7D812B" w14:textId="77777777">
      <w:pPr>
        <w:pStyle w:val="1265"/>
        <w:widowControl w:val="false"/>
        <w:numPr>
          <w:ilvl w:val="0"/>
          <w:numId w:val="7"/>
        </w:numPr>
        <w:pBdr/>
        <w:spacing/>
        <w:ind/>
        <w:rPr>
          <w:rFonts w:asciiTheme="minorHAnsi" w:hAnsiTheme="minorHAnsi" w:cstheme="minorHAnsi"/>
        </w:rPr>
      </w:pPr>
      <w:r>
        <w:rPr>
          <w:rFonts w:asciiTheme="minorHAnsi" w:hAnsiTheme="minorHAnsi" w:cstheme="minorHAnsi"/>
        </w:rPr>
        <w:t xml:space="preserve">Le cadre de décomposition du prix global et forfaitaire ;</w:t>
      </w:r>
      <w:r>
        <w:rPr>
          <w:rFonts w:asciiTheme="minorHAnsi" w:hAnsiTheme="minorHAnsi" w:cstheme="minorHAnsi"/>
        </w:rPr>
      </w:r>
    </w:p>
    <w:p w14:paraId="2FD157AB" w14:textId="77777777">
      <w:pPr>
        <w:pStyle w:val="1265"/>
        <w:widowControl w:val="false"/>
        <w:numPr>
          <w:ilvl w:val="0"/>
          <w:numId w:val="7"/>
        </w:numPr>
        <w:pBdr/>
        <w:spacing/>
        <w:ind/>
        <w:rPr>
          <w:rFonts w:asciiTheme="minorHAnsi" w:hAnsiTheme="minorHAnsi" w:cstheme="minorHAnsi"/>
        </w:rPr>
      </w:pPr>
      <w:r>
        <w:rPr>
          <w:rFonts w:asciiTheme="minorHAnsi" w:hAnsiTheme="minorHAnsi" w:cstheme="minorHAnsi"/>
        </w:rPr>
        <w:t xml:space="preserve">Le formulaire de candidature comprenant la déclaration sur l'honneur relative aux critères d'exclusion, à l'absence de conflit d'intérêt et la fiche d’identité tiers ;</w:t>
      </w:r>
      <w:r>
        <w:rPr>
          <w:rFonts w:asciiTheme="minorHAnsi" w:hAnsiTheme="minorHAnsi" w:cstheme="minorHAnsi"/>
        </w:rPr>
      </w:r>
    </w:p>
    <w:p w14:paraId="0D1CF724" w14:textId="77777777">
      <w:pPr>
        <w:pStyle w:val="1265"/>
        <w:widowControl w:val="false"/>
        <w:numPr>
          <w:ilvl w:val="0"/>
          <w:numId w:val="7"/>
        </w:numPr>
        <w:pBdr/>
        <w:spacing/>
        <w:ind/>
        <w:rPr>
          <w:rFonts w:asciiTheme="minorHAnsi" w:hAnsiTheme="minorHAnsi" w:cstheme="minorHAnsi"/>
        </w:rPr>
      </w:pPr>
      <w:r>
        <w:rPr>
          <w:rFonts w:asciiTheme="minorHAnsi" w:hAnsiTheme="minorHAnsi" w:cstheme="minorHAnsi"/>
        </w:rPr>
        <w:t xml:space="preserve">Le formulaire de vérification de conformité au RGPD du candidat ;</w:t>
      </w:r>
      <w:r>
        <w:rPr>
          <w:rFonts w:asciiTheme="minorHAnsi" w:hAnsiTheme="minorHAnsi" w:cstheme="minorHAnsi"/>
        </w:rPr>
      </w:r>
    </w:p>
    <w:p w14:paraId="2B41E683" w14:textId="77777777">
      <w:pPr>
        <w:pStyle w:val="1265"/>
        <w:widowControl w:val="false"/>
        <w:numPr>
          <w:ilvl w:val="0"/>
          <w:numId w:val="7"/>
        </w:numPr>
        <w:pBdr/>
        <w:spacing/>
        <w:ind/>
        <w:rPr>
          <w:rFonts w:asciiTheme="minorHAnsi" w:hAnsiTheme="minorHAnsi" w:cstheme="minorHAnsi"/>
        </w:rPr>
      </w:pPr>
      <w:r>
        <w:rPr>
          <w:rFonts w:asciiTheme="minorHAnsi" w:hAnsiTheme="minorHAnsi" w:cstheme="minorHAnsi"/>
        </w:rPr>
        <w:t xml:space="preserve">DAJ_GU006_v01 - Guide utilisation PLACE pour les entreprises.</w:t>
      </w:r>
      <w:r>
        <w:rPr>
          <w:rFonts w:asciiTheme="minorHAnsi" w:hAnsiTheme="minorHAnsi" w:cstheme="minorHAnsi"/>
        </w:rPr>
        <w:tab/>
      </w:r>
      <w:r>
        <w:rPr>
          <w:rFonts w:asciiTheme="minorHAnsi" w:hAnsiTheme="minorHAnsi" w:cstheme="minorHAnsi"/>
        </w:rPr>
      </w:r>
    </w:p>
    <w:p w14:paraId="1A34FF8A" w14:textId="77777777">
      <w:pPr>
        <w:pBdr/>
        <w:spacing/>
        <w:ind/>
        <w:rPr>
          <w:rFonts w:asciiTheme="minorHAnsi" w:hAnsiTheme="minorHAnsi" w:cstheme="minorHAnsi"/>
        </w:rPr>
      </w:pPr>
      <w:r>
        <w:rPr>
          <w:rFonts w:asciiTheme="minorHAnsi" w:hAnsiTheme="minorHAnsi" w:cstheme="minorHAnsi"/>
        </w:rPr>
      </w:r>
      <w:r>
        <w:rPr>
          <w:rFonts w:asciiTheme="minorHAnsi" w:hAnsiTheme="minorHAnsi" w:cstheme="minorHAnsi"/>
        </w:rPr>
      </w:r>
    </w:p>
    <w:p w14:paraId="7E3C23B3" w14:textId="77777777">
      <w:pPr>
        <w:pStyle w:val="1073"/>
        <w:pBdr/>
        <w:spacing w:after="120" w:before="120" w:line="240" w:lineRule="auto"/>
        <w:ind/>
        <w:jc w:val="both"/>
        <w:rPr>
          <w:rFonts w:asciiTheme="minorHAnsi" w:hAnsiTheme="minorHAnsi" w:cstheme="minorHAnsi"/>
          <w:sz w:val="22"/>
          <w:szCs w:val="22"/>
          <w:u w:val="single"/>
        </w:rPr>
      </w:pPr>
      <w:r/>
      <w:bookmarkStart w:id="9" w:name="_Toc242880911"/>
      <w:r>
        <w:rPr>
          <w:rFonts w:asciiTheme="minorHAnsi" w:hAnsiTheme="minorHAnsi" w:cstheme="minorHAnsi"/>
          <w:sz w:val="22"/>
          <w:szCs w:val="22"/>
          <w:u w:val="single"/>
        </w:rPr>
        <w:t xml:space="preserve">Modification du dossier de consultation</w:t>
      </w:r>
      <w:bookmarkEnd w:id="9"/>
      <w:r/>
      <w:r>
        <w:rPr>
          <w:rFonts w:asciiTheme="minorHAnsi" w:hAnsiTheme="minorHAnsi" w:cstheme="minorHAnsi"/>
          <w:sz w:val="22"/>
          <w:szCs w:val="22"/>
          <w:u w:val="single"/>
        </w:rPr>
      </w:r>
    </w:p>
    <w:p w14:paraId="643290AC"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Des modifications peuvent être apportées aux documents de la consultation au plus tard 4 jours avant la date limite de réception des plis</w:t>
      </w:r>
      <w:r>
        <w:rPr>
          <w:rFonts w:asciiTheme="minorHAnsi" w:hAnsiTheme="minorHAnsi" w:cstheme="minorHAnsi"/>
          <w:sz w:val="22"/>
          <w:szCs w:val="22"/>
        </w:rPr>
      </w:r>
    </w:p>
    <w:p w14:paraId="02E5001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modifications sont communiquées aux seuls opérateurs économiques dûment identifiés lors du retrait des documents de la consultation.</w:t>
      </w:r>
      <w:r>
        <w:rPr>
          <w:rFonts w:asciiTheme="minorHAnsi" w:hAnsiTheme="minorHAnsi" w:cstheme="minorHAnsi"/>
          <w:sz w:val="22"/>
          <w:szCs w:val="22"/>
        </w:rPr>
      </w:r>
    </w:p>
    <w:p w14:paraId="264016AB"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03B26216" w14:textId="77777777">
      <w:pPr>
        <w:pBdr/>
        <w:spacing w:line="240" w:lineRule="auto"/>
        <w:ind/>
        <w:rPr>
          <w:rFonts w:asciiTheme="minorHAnsi" w:hAnsiTheme="minorHAnsi" w:cstheme="minorHAnsi"/>
          <w:b/>
          <w:caps/>
          <w:sz w:val="28"/>
          <w:szCs w:val="22"/>
          <w:u w:val="single"/>
        </w:rPr>
      </w:pPr>
      <w:r>
        <w:rPr>
          <w:rFonts w:asciiTheme="minorHAnsi" w:hAnsiTheme="minorHAnsi" w:cstheme="minorHAnsi"/>
          <w:sz w:val="22"/>
          <w:szCs w:val="22"/>
        </w:rPr>
        <w:t xml:space="preserve">Les candidats/soumissionnaires devront répondre sur la base du dernier do</w:t>
      </w:r>
      <w:r>
        <w:rPr>
          <w:rFonts w:asciiTheme="minorHAnsi" w:hAnsiTheme="minorHAnsi" w:cstheme="minorHAnsi"/>
          <w:sz w:val="22"/>
          <w:szCs w:val="22"/>
        </w:rPr>
        <w:t xml:space="preserve">ssier modifié. Dans le cas où un candidat/soumissionnaire aurait remis une candidature et/ou une offre avant les modifications, il pourra en remettre une nouvelle sur la base du dernier dossier modifié, avant la date et heure limites de réception des plis.</w:t>
      </w:r>
      <w:r>
        <w:rPr>
          <w:rFonts w:asciiTheme="minorHAnsi" w:hAnsiTheme="minorHAnsi" w:cstheme="minorHAnsi"/>
          <w:b/>
          <w:caps/>
          <w:sz w:val="28"/>
          <w:szCs w:val="22"/>
          <w:u w:val="single"/>
        </w:rPr>
      </w:r>
    </w:p>
    <w:p w14:paraId="6D69A6CD"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0" w:name="_Toc242880912"/>
      <w:r>
        <w:rPr>
          <w:rFonts w:asciiTheme="minorHAnsi" w:hAnsiTheme="minorHAnsi" w:cstheme="minorHAnsi"/>
          <w:b/>
          <w:caps/>
          <w:sz w:val="28"/>
          <w:szCs w:val="22"/>
          <w:u w:val="single"/>
        </w:rPr>
        <w:t xml:space="preserve">Caracteristiques GENERALES du projet de contrat</w:t>
      </w:r>
      <w:bookmarkEnd w:id="10"/>
      <w:r/>
      <w:r>
        <w:rPr>
          <w:rFonts w:asciiTheme="minorHAnsi" w:hAnsiTheme="minorHAnsi" w:cstheme="minorHAnsi"/>
          <w:b/>
          <w:caps/>
          <w:sz w:val="28"/>
          <w:szCs w:val="22"/>
          <w:u w:val="single"/>
        </w:rPr>
      </w:r>
    </w:p>
    <w:p w14:paraId="09310B40" w14:textId="77777777">
      <w:pPr>
        <w:pStyle w:val="1073"/>
        <w:pBdr/>
        <w:spacing w:after="120" w:before="120" w:line="240" w:lineRule="auto"/>
        <w:ind/>
        <w:jc w:val="both"/>
        <w:rPr>
          <w:rFonts w:asciiTheme="minorHAnsi" w:hAnsiTheme="minorHAnsi" w:cstheme="minorHAnsi"/>
          <w:sz w:val="22"/>
          <w:szCs w:val="22"/>
          <w:u w:val="single"/>
        </w:rPr>
      </w:pPr>
      <w:r/>
      <w:bookmarkStart w:id="11" w:name="_Toc242880913"/>
      <w:r>
        <w:rPr>
          <w:rFonts w:asciiTheme="minorHAnsi" w:hAnsiTheme="minorHAnsi" w:cstheme="minorHAnsi"/>
          <w:sz w:val="22"/>
          <w:szCs w:val="22"/>
          <w:u w:val="single"/>
        </w:rPr>
        <w:t xml:space="preserve">Forme du contrat</w:t>
      </w:r>
      <w:bookmarkEnd w:id="11"/>
      <w:r/>
      <w:r>
        <w:rPr>
          <w:rFonts w:asciiTheme="minorHAnsi" w:hAnsiTheme="minorHAnsi" w:cstheme="minorHAnsi"/>
          <w:sz w:val="22"/>
          <w:szCs w:val="22"/>
          <w:u w:val="single"/>
        </w:rPr>
      </w:r>
    </w:p>
    <w:p w14:paraId="398944A2" w14:textId="77777777">
      <w:pPr>
        <w:pBdr/>
        <w:spacing w:line="240" w:lineRule="auto"/>
        <w:ind/>
        <w:rPr>
          <w:rFonts w:asciiTheme="minorHAnsi" w:hAnsiTheme="minorHAnsi" w:cstheme="minorHAnsi"/>
          <w:sz w:val="22"/>
          <w:szCs w:val="22"/>
        </w:rPr>
      </w:pPr>
      <w:r>
        <w:rPr>
          <w:rFonts w:asciiTheme="minorHAnsi" w:hAnsiTheme="minorHAnsi" w:cstheme="minorHAnsi"/>
          <w:sz w:val="22"/>
          <w:szCs w:val="22"/>
        </w:rPr>
        <w:t xml:space="preserve">Le contrat est un marché public de services conclu à prix global et forfaitaire.</w:t>
      </w:r>
      <w:r>
        <w:rPr>
          <w:rFonts w:asciiTheme="minorHAnsi" w:hAnsiTheme="minorHAnsi" w:cstheme="minorHAnsi"/>
          <w:sz w:val="22"/>
          <w:szCs w:val="22"/>
        </w:rPr>
      </w:r>
    </w:p>
    <w:p w14:paraId="621ABF09" w14:textId="77777777">
      <w:pPr>
        <w:pStyle w:val="1073"/>
        <w:pBdr/>
        <w:spacing w:after="120" w:before="120" w:line="240" w:lineRule="auto"/>
        <w:ind/>
        <w:jc w:val="both"/>
        <w:rPr>
          <w:rFonts w:asciiTheme="minorHAnsi" w:hAnsiTheme="minorHAnsi" w:cstheme="minorHAnsi"/>
          <w:sz w:val="22"/>
          <w:szCs w:val="22"/>
          <w:u w:val="single"/>
        </w:rPr>
      </w:pPr>
      <w:r/>
      <w:bookmarkStart w:id="12" w:name="_Toc242880914"/>
      <w:r>
        <w:rPr>
          <w:rFonts w:asciiTheme="minorHAnsi" w:hAnsiTheme="minorHAnsi" w:cstheme="minorHAnsi"/>
          <w:sz w:val="22"/>
          <w:szCs w:val="22"/>
          <w:u w:val="single"/>
        </w:rPr>
        <w:t xml:space="preserve">Montant estimatif du besoin</w:t>
      </w:r>
      <w:bookmarkEnd w:id="12"/>
      <w:r/>
      <w:r>
        <w:rPr>
          <w:rFonts w:asciiTheme="minorHAnsi" w:hAnsiTheme="minorHAnsi" w:cstheme="minorHAnsi"/>
          <w:sz w:val="22"/>
          <w:szCs w:val="22"/>
          <w:u w:val="single"/>
        </w:rPr>
      </w:r>
    </w:p>
    <w:p w14:paraId="371FA159" w14:textId="084FE1B9">
      <w:pPr>
        <w:pStyle w:val="1076"/>
        <w:pBdr/>
        <w:spacing/>
        <w:ind/>
        <w:rPr>
          <w:rFonts w:asciiTheme="minorHAnsi" w:hAnsiTheme="minorHAnsi" w:cstheme="minorBidi"/>
          <w:b w:val="0"/>
          <w:bCs w:val="0"/>
          <w:sz w:val="22"/>
          <w:szCs w:val="22"/>
        </w:rPr>
      </w:pPr>
      <w:r>
        <w:rPr>
          <w:b w:val="0"/>
          <w:bCs w:val="0"/>
        </w:rPr>
        <w:t xml:space="preserve">Le montant prévisionnel du contrat est fixé à 65 000 € maximum.</w:t>
      </w:r>
      <w:r>
        <w:rPr>
          <w:rFonts w:asciiTheme="minorHAnsi" w:hAnsiTheme="minorHAnsi" w:cstheme="minorBidi"/>
          <w:b w:val="0"/>
          <w:bCs w:val="0"/>
          <w:sz w:val="22"/>
          <w:szCs w:val="22"/>
        </w:rPr>
      </w:r>
    </w:p>
    <w:p w14:paraId="537DAE72" w14:textId="77777777">
      <w:pPr>
        <w:pStyle w:val="1073"/>
        <w:pBdr/>
        <w:spacing w:after="120" w:before="120" w:line="240" w:lineRule="auto"/>
        <w:ind/>
        <w:jc w:val="both"/>
        <w:rPr>
          <w:rFonts w:asciiTheme="minorHAnsi" w:hAnsiTheme="minorHAnsi" w:cstheme="minorHAnsi"/>
          <w:sz w:val="22"/>
          <w:szCs w:val="22"/>
          <w:u w:val="single"/>
        </w:rPr>
      </w:pPr>
      <w:r/>
      <w:bookmarkStart w:id="13" w:name="_Toc242880915"/>
      <w:r>
        <w:rPr>
          <w:rFonts w:asciiTheme="minorHAnsi" w:hAnsiTheme="minorHAnsi" w:cstheme="minorHAnsi"/>
          <w:sz w:val="22"/>
          <w:szCs w:val="22"/>
          <w:u w:val="single"/>
        </w:rPr>
        <w:t xml:space="preserve">Durée du contrat</w:t>
      </w:r>
      <w:bookmarkEnd w:id="13"/>
      <w:r/>
      <w:r>
        <w:rPr>
          <w:rFonts w:asciiTheme="minorHAnsi" w:hAnsiTheme="minorHAnsi" w:cstheme="minorHAnsi"/>
          <w:sz w:val="22"/>
          <w:szCs w:val="22"/>
          <w:u w:val="single"/>
        </w:rPr>
      </w:r>
    </w:p>
    <w:p w14:paraId="179A2076" w14:textId="607AFF21">
      <w:pPr>
        <w:pBdr/>
        <w:spacing w:line="240" w:lineRule="auto"/>
        <w:ind/>
        <w:jc w:val="both"/>
        <w:rPr>
          <w:rFonts w:asciiTheme="minorHAnsi" w:hAnsiTheme="minorHAnsi" w:cstheme="minorBidi"/>
          <w:sz w:val="22"/>
          <w:szCs w:val="22"/>
        </w:rPr>
      </w:pPr>
      <w:r>
        <w:rPr>
          <w:rFonts w:asciiTheme="minorHAnsi" w:hAnsiTheme="minorHAnsi" w:cstheme="minorBidi"/>
          <w:sz w:val="22"/>
          <w:szCs w:val="22"/>
        </w:rPr>
        <w:t xml:space="preserve">La durée prévisionnelle du contrat est fixée à 12 mois à compter de sa date de notification. A titre indicatif, la date prévisionnelle de notification est le 30/11/2026.</w:t>
      </w:r>
      <w:r>
        <w:rPr>
          <w:rFonts w:asciiTheme="minorHAnsi" w:hAnsiTheme="minorHAnsi" w:cstheme="minorBidi"/>
          <w:sz w:val="22"/>
          <w:szCs w:val="22"/>
        </w:rPr>
      </w:r>
    </w:p>
    <w:p w14:paraId="0EDC0891"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2A4150E8" w14:textId="77777777">
      <w:pPr>
        <w:pStyle w:val="1073"/>
        <w:pBdr/>
        <w:spacing w:after="120" w:before="120" w:line="240" w:lineRule="auto"/>
        <w:ind/>
        <w:jc w:val="both"/>
        <w:rPr>
          <w:rFonts w:asciiTheme="minorHAnsi" w:hAnsiTheme="minorHAnsi" w:cstheme="minorHAnsi"/>
          <w:sz w:val="22"/>
          <w:szCs w:val="22"/>
          <w:u w:val="single"/>
        </w:rPr>
      </w:pPr>
      <w:r/>
      <w:bookmarkStart w:id="14" w:name="_Toc242880916"/>
      <w:r>
        <w:rPr>
          <w:rFonts w:asciiTheme="minorHAnsi" w:hAnsiTheme="minorHAnsi" w:cstheme="minorHAnsi"/>
          <w:sz w:val="22"/>
          <w:szCs w:val="22"/>
          <w:u w:val="single"/>
        </w:rPr>
        <w:t xml:space="preserve">Allotissement</w:t>
      </w:r>
      <w:bookmarkEnd w:id="14"/>
      <w:r/>
      <w:r>
        <w:rPr>
          <w:rFonts w:asciiTheme="minorHAnsi" w:hAnsiTheme="minorHAnsi" w:cstheme="minorHAnsi"/>
          <w:sz w:val="22"/>
          <w:szCs w:val="22"/>
          <w:u w:val="single"/>
        </w:rPr>
      </w:r>
    </w:p>
    <w:p w14:paraId="26C9B0E5"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La présente consultation n’est pas allotie.</w:t>
      </w:r>
      <w:r>
        <w:rPr>
          <w:rFonts w:asciiTheme="minorHAnsi" w:hAnsiTheme="minorHAnsi" w:cstheme="minorHAnsi"/>
          <w:sz w:val="22"/>
          <w:szCs w:val="22"/>
        </w:rPr>
      </w:r>
    </w:p>
    <w:p w14:paraId="22940827"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2409742C" w14:textId="77777777">
      <w:pPr>
        <w:pStyle w:val="1073"/>
        <w:pBdr/>
        <w:spacing w:after="120" w:before="120" w:line="240" w:lineRule="auto"/>
        <w:ind/>
        <w:jc w:val="both"/>
        <w:rPr>
          <w:rFonts w:asciiTheme="minorHAnsi" w:hAnsiTheme="minorHAnsi" w:cstheme="minorHAnsi"/>
          <w:sz w:val="22"/>
          <w:szCs w:val="22"/>
          <w:u w:val="single"/>
        </w:rPr>
      </w:pPr>
      <w:r/>
      <w:bookmarkStart w:id="15" w:name="_Toc242880917"/>
      <w:r>
        <w:rPr>
          <w:rFonts w:asciiTheme="minorHAnsi" w:hAnsiTheme="minorHAnsi" w:cstheme="minorHAnsi"/>
          <w:sz w:val="22"/>
          <w:szCs w:val="22"/>
          <w:u w:val="single"/>
        </w:rPr>
        <w:t xml:space="preserve">Prestations similaires</w:t>
      </w:r>
      <w:bookmarkEnd w:id="15"/>
      <w:r/>
      <w:r>
        <w:rPr>
          <w:rFonts w:asciiTheme="minorHAnsi" w:hAnsiTheme="minorHAnsi" w:cstheme="minorHAnsi"/>
          <w:sz w:val="22"/>
          <w:szCs w:val="22"/>
          <w:u w:val="single"/>
        </w:rPr>
      </w:r>
    </w:p>
    <w:p w14:paraId="19BA71B6" w14:textId="77777777">
      <w:pPr>
        <w:pBdr/>
        <w:spacing/>
        <w:ind/>
        <w:jc w:val="both"/>
        <w:rPr>
          <w:rFonts w:asciiTheme="minorHAnsi" w:hAnsiTheme="minorHAnsi" w:cstheme="minorHAnsi"/>
          <w:bCs/>
          <w:iCs/>
          <w:sz w:val="22"/>
          <w:szCs w:val="22"/>
        </w:rPr>
      </w:pPr>
      <w:r>
        <w:rPr>
          <w:rFonts w:asciiTheme="minorHAnsi" w:hAnsiTheme="minorHAnsi" w:cstheme="minorHAnsi"/>
          <w:bCs/>
          <w:iCs/>
          <w:sz w:val="22"/>
          <w:szCs w:val="22"/>
        </w:rPr>
        <w:t xml:space="preserve">En application de l’article R.2122-7 du code de la commande publique, le titulaire du contrat pourra se voir confier, dans le cadre d’une pr</w:t>
      </w:r>
      <w:r>
        <w:rPr>
          <w:rFonts w:asciiTheme="minorHAnsi" w:hAnsiTheme="minorHAnsi" w:cstheme="minorHAnsi"/>
          <w:bCs/>
          <w:iCs/>
          <w:sz w:val="22"/>
          <w:szCs w:val="22"/>
        </w:rPr>
        <w:t xml:space="preserve">océdure négociée sans mise en concurrence, la réalisation de prestations similaires à celles du contrat initial. La durée pendant laquelle ce ou ces contrats peuvent être conclu(s) ne peut dépasser trois ans à compter de la notification du contrat initial.</w:t>
      </w:r>
      <w:r>
        <w:rPr>
          <w:rFonts w:asciiTheme="minorHAnsi" w:hAnsiTheme="minorHAnsi" w:cstheme="minorHAnsi"/>
          <w:bCs/>
          <w:iCs/>
          <w:sz w:val="22"/>
          <w:szCs w:val="22"/>
        </w:rPr>
      </w:r>
    </w:p>
    <w:p w14:paraId="20A90FA9" w14:textId="77777777">
      <w:pPr>
        <w:pStyle w:val="1265"/>
        <w:widowControl w:val="false"/>
        <w:pBdr/>
        <w:spacing/>
        <w:ind w:firstLine="0" w:left="0"/>
        <w:rPr>
          <w:rFonts w:asciiTheme="minorHAnsi" w:hAnsiTheme="minorHAnsi" w:cstheme="minorHAnsi"/>
          <w:bCs/>
          <w:i/>
          <w:szCs w:val="22"/>
        </w:rPr>
      </w:pPr>
      <w:r>
        <w:rPr>
          <w:rFonts w:asciiTheme="minorHAnsi" w:hAnsiTheme="minorHAnsi" w:cstheme="minorHAnsi"/>
          <w:bCs/>
          <w:i/>
          <w:szCs w:val="22"/>
        </w:rPr>
      </w:r>
      <w:r>
        <w:rPr>
          <w:rFonts w:asciiTheme="minorHAnsi" w:hAnsiTheme="minorHAnsi" w:cstheme="minorHAnsi"/>
          <w:bCs/>
          <w:i/>
          <w:szCs w:val="22"/>
        </w:rPr>
      </w:r>
    </w:p>
    <w:p w14:paraId="10CA973F"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16" w:name="_Toc242880918"/>
      <w:r>
        <w:rPr>
          <w:rFonts w:asciiTheme="minorHAnsi" w:hAnsiTheme="minorHAnsi" w:cstheme="minorHAnsi"/>
          <w:b/>
          <w:caps/>
          <w:sz w:val="28"/>
          <w:szCs w:val="22"/>
          <w:u w:val="single"/>
        </w:rPr>
        <w:t xml:space="preserve">Conditions de participation de candidats</w:t>
      </w:r>
      <w:bookmarkEnd w:id="16"/>
      <w:r/>
      <w:r>
        <w:rPr>
          <w:rFonts w:asciiTheme="minorHAnsi" w:hAnsiTheme="minorHAnsi" w:cstheme="minorHAnsi"/>
          <w:b/>
          <w:caps/>
          <w:sz w:val="28"/>
          <w:szCs w:val="22"/>
          <w:u w:val="single"/>
        </w:rPr>
      </w:r>
    </w:p>
    <w:p w14:paraId="4718FEFD" w14:textId="77777777">
      <w:pPr>
        <w:pStyle w:val="1073"/>
        <w:pBdr/>
        <w:spacing w:after="120" w:before="120" w:line="240" w:lineRule="auto"/>
        <w:ind/>
        <w:jc w:val="both"/>
        <w:rPr>
          <w:rFonts w:asciiTheme="minorHAnsi" w:hAnsiTheme="minorHAnsi" w:cstheme="minorHAnsi"/>
          <w:sz w:val="22"/>
          <w:szCs w:val="22"/>
          <w:u w:val="single"/>
        </w:rPr>
      </w:pPr>
      <w:r/>
      <w:bookmarkStart w:id="17" w:name="_Toc242880919"/>
      <w:r>
        <w:rPr>
          <w:rFonts w:asciiTheme="minorHAnsi" w:hAnsiTheme="minorHAnsi" w:cstheme="minorHAnsi"/>
          <w:sz w:val="22"/>
          <w:szCs w:val="22"/>
          <w:u w:val="single"/>
        </w:rPr>
        <w:t xml:space="preserve">Conditions de présentation des candidatures</w:t>
      </w:r>
      <w:bookmarkEnd w:id="17"/>
      <w:r/>
      <w:r>
        <w:rPr>
          <w:rFonts w:asciiTheme="minorHAnsi" w:hAnsiTheme="minorHAnsi" w:cstheme="minorHAnsi"/>
          <w:sz w:val="22"/>
          <w:szCs w:val="22"/>
          <w:u w:val="single"/>
        </w:rPr>
      </w:r>
    </w:p>
    <w:p w14:paraId="24FB051B" w14:textId="77777777">
      <w:pPr>
        <w:pStyle w:val="1315"/>
        <w:pBdr/>
        <w:spacing/>
        <w:ind/>
        <w:rPr>
          <w:rFonts w:asciiTheme="minorHAnsi" w:hAnsiTheme="minorHAnsi" w:cstheme="minorHAnsi"/>
          <w:bCs/>
          <w:iCs/>
          <w:sz w:val="22"/>
          <w:szCs w:val="22"/>
          <w:lang w:bidi="ar-SA"/>
        </w:rPr>
      </w:pPr>
      <w:r>
        <w:rPr>
          <w:rFonts w:eastAsia="Times" w:asciiTheme="minorHAnsi" w:hAnsiTheme="minorHAnsi" w:cstheme="minorHAnsi"/>
          <w:bCs/>
          <w:iCs/>
          <w:sz w:val="22"/>
          <w:szCs w:val="22"/>
          <w:lang w:eastAsia="fr-FR" w:bidi="ar-SA"/>
        </w:rPr>
        <w:t xml:space="preserve">Une même personne ne peut représenter plus d'un candidat pour un même marché (article R. 2142-4 du code de la commande publique).</w:t>
      </w:r>
      <w:r>
        <w:rPr>
          <w:rFonts w:asciiTheme="minorHAnsi" w:hAnsiTheme="minorHAnsi" w:cstheme="minorHAnsi"/>
          <w:bCs/>
          <w:iCs/>
          <w:sz w:val="22"/>
          <w:szCs w:val="22"/>
          <w:lang w:bidi="ar-SA"/>
        </w:rPr>
        <w:t xml:space="preserve"> Mais dans le cadre de la consultation, le pouvoir adjudicateur autorise le candidat à présenter plusieurs offres en agissant à la fois :</w:t>
      </w:r>
      <w:r>
        <w:rPr>
          <w:rFonts w:asciiTheme="minorHAnsi" w:hAnsiTheme="minorHAnsi" w:cstheme="minorHAnsi"/>
          <w:bCs/>
          <w:iCs/>
          <w:sz w:val="22"/>
          <w:szCs w:val="22"/>
          <w:lang w:bidi="ar-SA"/>
        </w:rPr>
      </w:r>
    </w:p>
    <w:p w14:paraId="4CFFA471" w14:textId="77777777">
      <w:pPr>
        <w:pStyle w:val="1315"/>
        <w:numPr>
          <w:ilvl w:val="0"/>
          <w:numId w:val="35"/>
        </w:numPr>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en</w:t>
      </w:r>
      <w:r>
        <w:rPr>
          <w:rFonts w:asciiTheme="minorHAnsi" w:hAnsiTheme="minorHAnsi" w:cstheme="minorHAnsi"/>
          <w:bCs/>
          <w:iCs/>
          <w:sz w:val="22"/>
          <w:szCs w:val="22"/>
          <w:lang w:bidi="ar-SA"/>
        </w:rPr>
        <w:t xml:space="preserve"> qualité de candidat individuel et de membre d'un ou plusieurs groupements d'opérateurs économiques;</w:t>
      </w:r>
      <w:r>
        <w:rPr>
          <w:rFonts w:asciiTheme="minorHAnsi" w:hAnsiTheme="minorHAnsi" w:cstheme="minorHAnsi"/>
          <w:bCs/>
          <w:iCs/>
          <w:sz w:val="22"/>
          <w:szCs w:val="22"/>
          <w:lang w:bidi="ar-SA"/>
        </w:rPr>
      </w:r>
    </w:p>
    <w:p w14:paraId="06544F68" w14:textId="77777777">
      <w:pPr>
        <w:pStyle w:val="1315"/>
        <w:numPr>
          <w:ilvl w:val="0"/>
          <w:numId w:val="35"/>
        </w:numPr>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en</w:t>
      </w:r>
      <w:r>
        <w:rPr>
          <w:rFonts w:asciiTheme="minorHAnsi" w:hAnsiTheme="minorHAnsi" w:cstheme="minorHAnsi"/>
          <w:bCs/>
          <w:iCs/>
          <w:sz w:val="22"/>
          <w:szCs w:val="22"/>
          <w:lang w:bidi="ar-SA"/>
        </w:rPr>
        <w:t xml:space="preserve"> qualité de membres de plusieurs groupements d'opérateurs économiques.</w:t>
      </w:r>
      <w:r>
        <w:rPr>
          <w:rFonts w:asciiTheme="minorHAnsi" w:hAnsiTheme="minorHAnsi" w:cstheme="minorHAnsi"/>
          <w:bCs/>
          <w:iCs/>
          <w:sz w:val="22"/>
          <w:szCs w:val="22"/>
          <w:lang w:bidi="ar-SA"/>
        </w:rPr>
      </w:r>
    </w:p>
    <w:p w14:paraId="6B76FFC7" w14:textId="77777777">
      <w:pPr>
        <w:pStyle w:val="1315"/>
        <w:pBdr/>
        <w:spacing/>
        <w:ind w:left="1066"/>
        <w:rPr>
          <w:rFonts w:asciiTheme="minorHAnsi" w:hAnsiTheme="minorHAnsi" w:cstheme="minorHAnsi"/>
          <w:bCs/>
          <w:iCs/>
          <w:sz w:val="22"/>
          <w:szCs w:val="22"/>
          <w:lang w:bidi="ar-SA"/>
        </w:rPr>
      </w:pP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4F3F5B92" w14:textId="77777777">
      <w:pPr>
        <w:pStyle w:val="1315"/>
        <w:pBdr/>
        <w:spacing/>
        <w:ind/>
        <w:rPr>
          <w:rFonts w:eastAsia="Times" w:asciiTheme="minorHAnsi" w:hAnsiTheme="minorHAnsi" w:cstheme="minorHAnsi"/>
          <w:bCs/>
          <w:iCs/>
          <w:sz w:val="22"/>
          <w:szCs w:val="22"/>
          <w:lang w:eastAsia="fr-FR" w:bidi="ar-SA"/>
        </w:rPr>
      </w:pPr>
      <w:r>
        <w:rPr>
          <w:rFonts w:asciiTheme="minorHAnsi" w:hAnsiTheme="minorHAnsi" w:cstheme="minorHAnsi"/>
          <w:bCs/>
          <w:iCs/>
          <w:sz w:val="22"/>
          <w:szCs w:val="22"/>
          <w:lang w:bidi="ar-SA"/>
        </w:rPr>
        <w:t xml:space="preserve">Dans le cas d'une candidature d'un grou</w:t>
      </w:r>
      <w:r>
        <w:rPr>
          <w:rFonts w:asciiTheme="minorHAnsi" w:hAnsiTheme="minorHAnsi" w:cstheme="minorHAnsi"/>
          <w:bCs/>
          <w:iCs/>
          <w:sz w:val="22"/>
          <w:szCs w:val="22"/>
          <w:lang w:bidi="ar-SA"/>
        </w:rPr>
        <w:t xml:space="preserve">pement d'opérateurs économiques, chaque membre du groupement doit fournir l'ensemble des documents et renseignements attestant de ses capacités juridiques, professionnelles, techniques et financières. L'appréciation des capacités du groupement est globale.</w:t>
      </w:r>
      <w:r>
        <w:rPr>
          <w:rFonts w:eastAsia="Times" w:asciiTheme="minorHAnsi" w:hAnsiTheme="minorHAnsi" w:cstheme="minorHAnsi"/>
          <w:bCs/>
          <w:iCs/>
          <w:sz w:val="22"/>
          <w:szCs w:val="22"/>
          <w:lang w:eastAsia="fr-FR" w:bidi="ar-SA"/>
        </w:rPr>
      </w:r>
    </w:p>
    <w:p w14:paraId="4CA8C7A1" w14:textId="77777777">
      <w:pPr>
        <w:pStyle w:val="1315"/>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01FF524B" w14:textId="77777777">
      <w:pPr>
        <w:pStyle w:val="1073"/>
        <w:pBdr/>
        <w:spacing w:after="120" w:before="120" w:line="240" w:lineRule="auto"/>
        <w:ind/>
        <w:jc w:val="both"/>
        <w:rPr>
          <w:rFonts w:asciiTheme="minorHAnsi" w:hAnsiTheme="minorHAnsi" w:cstheme="minorHAnsi"/>
          <w:sz w:val="22"/>
          <w:szCs w:val="22"/>
          <w:u w:val="single"/>
        </w:rPr>
      </w:pPr>
      <w:r/>
      <w:bookmarkStart w:id="18" w:name="_Toc242880920"/>
      <w:r>
        <w:rPr>
          <w:rFonts w:asciiTheme="minorHAnsi" w:hAnsiTheme="minorHAnsi" w:cstheme="minorHAnsi"/>
          <w:sz w:val="22"/>
          <w:szCs w:val="22"/>
          <w:u w:val="single"/>
        </w:rPr>
        <w:t xml:space="preserve">Motifs et conditions d’exclusion</w:t>
      </w:r>
      <w:bookmarkEnd w:id="18"/>
      <w:r>
        <w:rPr>
          <w:rFonts w:asciiTheme="minorHAnsi" w:hAnsiTheme="minorHAnsi" w:cstheme="minorHAnsi"/>
          <w:sz w:val="22"/>
          <w:szCs w:val="22"/>
          <w:u w:val="single"/>
        </w:rPr>
        <w:t xml:space="preserve"> </w:t>
      </w:r>
      <w:r>
        <w:rPr>
          <w:rFonts w:asciiTheme="minorHAnsi" w:hAnsiTheme="minorHAnsi" w:cstheme="minorHAnsi"/>
          <w:sz w:val="22"/>
          <w:szCs w:val="22"/>
          <w:u w:val="single"/>
        </w:rPr>
      </w:r>
    </w:p>
    <w:p w14:paraId="3B04C2D1" w14:textId="77777777">
      <w:pPr>
        <w:pStyle w:val="1315"/>
        <w:pBdr/>
        <w:spacing/>
        <w:ind/>
        <w:rPr>
          <w:rFonts w:asciiTheme="minorHAnsi" w:hAnsiTheme="minorHAnsi" w:cstheme="minorHAnsi"/>
          <w:bCs/>
          <w:iCs/>
          <w:sz w:val="22"/>
          <w:szCs w:val="22"/>
        </w:rPr>
      </w:pPr>
      <w:r>
        <w:rPr>
          <w:rFonts w:asciiTheme="minorHAnsi" w:hAnsiTheme="minorHAnsi" w:cstheme="minorHAnsi"/>
          <w:bCs/>
          <w:iCs/>
          <w:sz w:val="22"/>
          <w:szCs w:val="22"/>
        </w:rPr>
        <w:t xml:space="preserve">En application, notamment : </w:t>
      </w:r>
      <w:r>
        <w:rPr>
          <w:rFonts w:asciiTheme="minorHAnsi" w:hAnsiTheme="minorHAnsi" w:cstheme="minorHAnsi"/>
          <w:bCs/>
          <w:iCs/>
          <w:sz w:val="22"/>
          <w:szCs w:val="22"/>
        </w:rPr>
      </w:r>
    </w:p>
    <w:p w14:paraId="40B28EEA" w14:textId="77777777">
      <w:pPr>
        <w:pStyle w:val="1315"/>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de</w:t>
      </w:r>
      <w:r>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r>
        <w:rPr>
          <w:rFonts w:asciiTheme="minorHAnsi" w:hAnsiTheme="minorHAnsi" w:cstheme="minorHAnsi"/>
          <w:bCs/>
          <w:iCs/>
          <w:sz w:val="22"/>
          <w:szCs w:val="22"/>
        </w:rPr>
      </w:r>
    </w:p>
    <w:p w14:paraId="1D218053" w14:textId="77777777">
      <w:pPr>
        <w:pStyle w:val="1315"/>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du</w:t>
      </w:r>
      <w:r>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r>
        <w:rPr>
          <w:rFonts w:asciiTheme="minorHAnsi" w:hAnsiTheme="minorHAnsi" w:cstheme="minorHAnsi"/>
          <w:bCs/>
          <w:iCs/>
          <w:sz w:val="22"/>
          <w:szCs w:val="22"/>
        </w:rPr>
      </w:r>
    </w:p>
    <w:p w14:paraId="2944B769" w14:textId="77777777">
      <w:pPr>
        <w:pStyle w:val="1315"/>
        <w:numPr>
          <w:ilvl w:val="0"/>
          <w:numId w:val="38"/>
        </w:numPr>
        <w:pBdr/>
        <w:spacing/>
        <w:ind/>
        <w:rPr>
          <w:rFonts w:asciiTheme="minorHAnsi" w:hAnsiTheme="minorHAnsi" w:cstheme="minorHAnsi"/>
          <w:bCs/>
          <w:iCs/>
          <w:sz w:val="22"/>
          <w:szCs w:val="22"/>
        </w:rPr>
      </w:pPr>
      <w:r>
        <w:rPr>
          <w:rFonts w:asciiTheme="minorHAnsi" w:hAnsiTheme="minorHAnsi" w:cstheme="minorHAnsi"/>
          <w:bCs/>
          <w:iCs/>
          <w:sz w:val="22"/>
          <w:szCs w:val="22"/>
        </w:rPr>
        <w:t xml:space="preserve">des</w:t>
      </w:r>
      <w:r>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r>
        <w:rPr>
          <w:rFonts w:asciiTheme="minorHAnsi" w:hAnsiTheme="minorHAnsi" w:cstheme="minorHAnsi"/>
          <w:bCs/>
          <w:iCs/>
          <w:sz w:val="22"/>
          <w:szCs w:val="22"/>
        </w:rPr>
      </w:r>
    </w:p>
    <w:p w14:paraId="4C3D0705" w14:textId="77777777">
      <w:pPr>
        <w:pStyle w:val="1315"/>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p>
    <w:p w14:paraId="5C43166B" w14:textId="77777777">
      <w:pPr>
        <w:pStyle w:val="1315"/>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eastAsia="Times" w:asciiTheme="minorHAnsi" w:hAnsiTheme="minorHAnsi" w:cstheme="minorHAnsi"/>
          <w:bCs/>
          <w:iCs/>
          <w:sz w:val="22"/>
          <w:szCs w:val="22"/>
          <w:lang w:eastAsia="fr-FR" w:bidi="ar-SA"/>
        </w:rPr>
        <w:t xml:space="preserve">Les candidats ou leur représentant se trouvant dans un des cas énumérés aux articles L.2141-1 à L.2141-10</w:t>
      </w:r>
      <w:r>
        <w:rPr>
          <w:rFonts w:eastAsia="Times" w:asciiTheme="minorHAnsi" w:hAnsiTheme="minorHAnsi" w:cstheme="minorHAnsi"/>
          <w:bCs/>
          <w:iCs/>
          <w:sz w:val="22"/>
          <w:szCs w:val="22"/>
          <w:lang w:eastAsia="fr-FR" w:bidi="ar-SA"/>
        </w:rPr>
        <w:t xml:space="preserve"> du code de la commande publique, ou qui figurent sur une liste d’exclusion officielle sont exclus de la procédure, que leur situation soit révélée par leurs propres déclarations ou par la mise en œuvre des mesures de vigilance par l’autorité contractante.</w:t>
      </w:r>
      <w:r>
        <w:rPr>
          <w:rFonts w:asciiTheme="minorHAnsi" w:hAnsiTheme="minorHAnsi" w:cstheme="minorHAnsi"/>
          <w:bCs/>
          <w:iCs/>
          <w:sz w:val="22"/>
          <w:szCs w:val="22"/>
        </w:rPr>
      </w:r>
    </w:p>
    <w:p w14:paraId="14BFEB47" w14:textId="77777777">
      <w:pPr>
        <w:pStyle w:val="1315"/>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p>
    <w:p w14:paraId="21B1C58E" w14:textId="77777777">
      <w:pPr>
        <w:pStyle w:val="1315"/>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eastAsia="Times" w:asciiTheme="minorHAnsi" w:hAnsiTheme="minorHAnsi" w:cstheme="minorHAnsi"/>
          <w:bCs/>
          <w:iCs/>
          <w:sz w:val="22"/>
          <w:szCs w:val="22"/>
          <w:lang w:eastAsia="fr-FR" w:bidi="ar-SA"/>
        </w:rPr>
        <w:t xml:space="preserve">Toutefois, lorsque la décision d’exclusion est laissée à l’appréciation de l’autorité contractante, </w:t>
      </w:r>
      <w:r>
        <w:rPr>
          <w:rFonts w:asciiTheme="minorHAnsi" w:hAnsiTheme="minorHAnsi" w:cstheme="minorHAnsi"/>
          <w:bCs/>
          <w:iCs/>
          <w:sz w:val="22"/>
          <w:szCs w:val="22"/>
        </w:rPr>
        <w:t xml:space="preserve">celle-ci invite le(s) candidat(s) susceptible(s) d’être exclu(s) à présenter ses(leurs) observations afin d'établir dans un délai raisonnable n’excédan</w:t>
      </w:r>
      <w:r>
        <w:rPr>
          <w:rFonts w:asciiTheme="minorHAnsi" w:hAnsiTheme="minorHAnsi" w:cstheme="minorHAnsi"/>
          <w:bCs/>
          <w:iCs/>
          <w:sz w:val="22"/>
          <w:szCs w:val="22"/>
        </w:rPr>
        <w:t xml:space="preserve">t pas 10 jours, et par tout moyen, que les mesures nécessaires pour corriger les manquements à l’origine de l’exclusion ont été prises et, le cas échéant, que sa(leur) participation à la consultation n'est pas susceptible de porter atteinte à l'égalité de </w:t>
      </w:r>
      <w:r>
        <w:rPr>
          <w:rFonts w:eastAsia="Times" w:asciiTheme="minorHAnsi" w:hAnsiTheme="minorHAnsi" w:cstheme="minorHAnsi"/>
          <w:bCs/>
          <w:iCs/>
          <w:sz w:val="22"/>
          <w:szCs w:val="22"/>
          <w:lang w:eastAsia="fr-FR" w:bidi="ar-SA"/>
        </w:rPr>
        <w:t xml:space="preserve">traitement.</w:t>
      </w:r>
      <w:r>
        <w:rPr>
          <w:rFonts w:asciiTheme="minorHAnsi" w:hAnsiTheme="minorHAnsi" w:cstheme="minorHAnsi"/>
          <w:bCs/>
          <w:iCs/>
          <w:sz w:val="22"/>
          <w:szCs w:val="22"/>
        </w:rPr>
      </w:r>
    </w:p>
    <w:p w14:paraId="3BF4AC5B" w14:textId="77777777">
      <w:pPr>
        <w:pStyle w:val="1315"/>
        <w:pBdr>
          <w:top w:val="single" w:color="000000" w:sz="4" w:space="1"/>
          <w:left w:val="single" w:color="000000" w:sz="4" w:space="1"/>
          <w:bottom w:val="single" w:color="000000" w:sz="4" w:space="1"/>
          <w:right w:val="single" w:color="000000" w:sz="4" w:space="1"/>
        </w:pBdr>
        <w:spacing/>
        <w:ind/>
        <w:rPr>
          <w:rFonts w:asciiTheme="minorHAnsi" w:hAnsiTheme="minorHAnsi" w:cstheme="minorHAnsi"/>
          <w:bCs/>
          <w:iCs/>
          <w:sz w:val="22"/>
          <w:szCs w:val="22"/>
        </w:rPr>
      </w:pPr>
      <w:r>
        <w:rPr>
          <w:rFonts w:asciiTheme="minorHAnsi" w:hAnsiTheme="minorHAnsi" w:cstheme="minorHAnsi"/>
          <w:bCs/>
          <w:iCs/>
          <w:sz w:val="22"/>
          <w:szCs w:val="22"/>
        </w:rPr>
      </w:r>
      <w:r>
        <w:rPr>
          <w:rFonts w:asciiTheme="minorHAnsi" w:hAnsiTheme="minorHAnsi" w:cstheme="minorHAnsi"/>
          <w:bCs/>
          <w:iCs/>
          <w:sz w:val="22"/>
          <w:szCs w:val="22"/>
        </w:rPr>
      </w:r>
    </w:p>
    <w:p w14:paraId="3484FBBF" w14:textId="77777777">
      <w:pPr>
        <w:pStyle w:val="1315"/>
        <w:pBdr>
          <w:top w:val="single" w:color="000000" w:sz="4" w:space="1"/>
          <w:left w:val="single" w:color="000000" w:sz="4" w:space="1"/>
          <w:bottom w:val="single" w:color="000000" w:sz="4" w:space="1"/>
          <w:right w:val="single" w:color="000000" w:sz="4" w:space="1"/>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t xml:space="preserve">Lorsqu'un opérateur économique se trouve, en cours de procédure, en situation d'exclusion, il en informe sans délai le pouvoir adjudicateur qui l'exclut pour ce motif.</w:t>
      </w:r>
      <w:r>
        <w:rPr>
          <w:rFonts w:eastAsia="Times" w:asciiTheme="minorHAnsi" w:hAnsiTheme="minorHAnsi" w:cstheme="minorHAnsi"/>
          <w:bCs/>
          <w:iCs/>
          <w:sz w:val="22"/>
          <w:szCs w:val="22"/>
          <w:lang w:eastAsia="fr-FR" w:bidi="ar-SA"/>
        </w:rPr>
      </w:r>
    </w:p>
    <w:p w14:paraId="6CBA9C4F" w14:textId="77777777">
      <w:pPr>
        <w:pStyle w:val="1315"/>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4E0B7F4E" w14:textId="77777777">
      <w:pPr>
        <w:pStyle w:val="1073"/>
        <w:pBdr/>
        <w:spacing w:after="120" w:before="120" w:line="240" w:lineRule="auto"/>
        <w:ind/>
        <w:jc w:val="both"/>
        <w:rPr>
          <w:rFonts w:asciiTheme="minorHAnsi" w:hAnsiTheme="minorHAnsi" w:cstheme="minorHAnsi"/>
          <w:sz w:val="22"/>
          <w:szCs w:val="22"/>
          <w:u w:val="single"/>
        </w:rPr>
      </w:pPr>
      <w:r/>
      <w:bookmarkStart w:id="19" w:name="_Toc242880921"/>
      <w:r>
        <w:rPr>
          <w:rFonts w:asciiTheme="minorHAnsi" w:hAnsiTheme="minorHAnsi" w:cstheme="minorHAnsi"/>
          <w:sz w:val="22"/>
          <w:szCs w:val="22"/>
          <w:u w:val="single"/>
        </w:rPr>
        <w:t xml:space="preserve">Niveaux minimaux requis en termes de capacités économiques, techniques et professionnelles</w:t>
      </w:r>
      <w:bookmarkEnd w:id="19"/>
      <w:r>
        <w:rPr>
          <w:rFonts w:asciiTheme="minorHAnsi" w:hAnsiTheme="minorHAnsi" w:cstheme="minorHAnsi"/>
          <w:sz w:val="22"/>
          <w:szCs w:val="22"/>
          <w:u w:val="single"/>
        </w:rPr>
        <w:t xml:space="preserve"> </w:t>
      </w:r>
      <w:r>
        <w:rPr>
          <w:rFonts w:asciiTheme="minorHAnsi" w:hAnsiTheme="minorHAnsi" w:cstheme="minorHAnsi"/>
          <w:sz w:val="22"/>
          <w:szCs w:val="22"/>
          <w:u w:val="single"/>
        </w:rPr>
      </w:r>
    </w:p>
    <w:p w14:paraId="2A1FAFE0"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1CAAE45E"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t xml:space="preserve">L’autorité contractante impose aux candidats les niveaux minimaux de capacité suivants :</w:t>
      </w:r>
      <w:r>
        <w:rPr>
          <w:rFonts w:asciiTheme="minorHAnsi" w:hAnsiTheme="minorHAnsi" w:cstheme="minorHAnsi"/>
          <w:sz w:val="22"/>
          <w:szCs w:val="22"/>
        </w:rPr>
      </w:r>
    </w:p>
    <w:p w14:paraId="6307A245"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36E90CC8" w14:textId="77777777">
      <w:pPr>
        <w:pStyle w:val="1073"/>
        <w:pBdr/>
        <w:spacing w:after="120" w:before="120" w:line="240" w:lineRule="auto"/>
        <w:ind w:left="708"/>
        <w:jc w:val="both"/>
        <w:rPr>
          <w:rFonts w:asciiTheme="minorHAnsi" w:hAnsiTheme="minorHAnsi" w:cstheme="minorHAnsi"/>
          <w:i/>
          <w:sz w:val="22"/>
          <w:szCs w:val="22"/>
        </w:rPr>
      </w:pPr>
      <w:r/>
      <w:bookmarkStart w:id="20" w:name="_Toc242880922"/>
      <w:r>
        <w:rPr>
          <w:rFonts w:asciiTheme="minorHAnsi" w:hAnsiTheme="minorHAnsi" w:cstheme="minorHAnsi"/>
          <w:i/>
          <w:sz w:val="22"/>
          <w:szCs w:val="22"/>
        </w:rPr>
        <w:t xml:space="preserve">CAPACITE ECONOMIQUE ET FINANCIERE</w:t>
      </w:r>
      <w:bookmarkEnd w:id="20"/>
      <w:r/>
      <w:r>
        <w:rPr>
          <w:rFonts w:asciiTheme="minorHAnsi" w:hAnsiTheme="minorHAnsi" w:cstheme="minorHAnsi"/>
          <w:i/>
          <w:sz w:val="22"/>
          <w:szCs w:val="22"/>
        </w:rPr>
      </w:r>
    </w:p>
    <w:p w14:paraId="259C14B9" w14:textId="2A793126">
      <w:pPr>
        <w:pStyle w:val="1277"/>
        <w:numPr>
          <w:ilvl w:val="0"/>
          <w:numId w:val="34"/>
        </w:numPr>
        <w:pBdr/>
        <w:spacing/>
        <w:ind/>
        <w:jc w:val="both"/>
        <w:rPr>
          <w:rFonts w:asciiTheme="minorHAnsi" w:hAnsiTheme="minorHAnsi" w:cstheme="minorBidi"/>
          <w:sz w:val="22"/>
          <w:szCs w:val="22"/>
        </w:rPr>
      </w:pPr>
      <w:r>
        <w:rPr>
          <w:rFonts w:asciiTheme="minorHAnsi" w:hAnsiTheme="minorHAnsi" w:cstheme="minorBidi"/>
          <w:sz w:val="22"/>
          <w:szCs w:val="22"/>
        </w:rPr>
        <w:t xml:space="preserve">Déclaration du chiffre d’affaires global (ou attestation bancaire justifiant d’une capacité financière minimale de 100 000 euros) : le chiffre d’affaires minimal exigé est de 100 000 euros</w:t>
      </w:r>
      <w:r>
        <w:rPr>
          <w:rFonts w:asciiTheme="minorHAnsi" w:hAnsiTheme="minorHAnsi" w:cstheme="minorBidi"/>
          <w:sz w:val="22"/>
          <w:szCs w:val="22"/>
        </w:rPr>
      </w:r>
    </w:p>
    <w:p w14:paraId="6FD3BC4B"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28EB8734" w14:textId="77777777">
      <w:pPr>
        <w:pStyle w:val="1073"/>
        <w:pBdr/>
        <w:spacing w:after="120" w:before="120" w:line="240" w:lineRule="auto"/>
        <w:ind w:left="708"/>
        <w:jc w:val="both"/>
        <w:rPr>
          <w:rFonts w:asciiTheme="minorHAnsi" w:hAnsiTheme="minorHAnsi" w:cstheme="minorHAnsi"/>
          <w:i/>
          <w:sz w:val="22"/>
          <w:szCs w:val="22"/>
        </w:rPr>
      </w:pPr>
      <w:r/>
      <w:bookmarkStart w:id="21" w:name="_Toc242880923"/>
      <w:r>
        <w:rPr>
          <w:rFonts w:asciiTheme="minorHAnsi" w:hAnsiTheme="minorHAnsi" w:cstheme="minorHAnsi"/>
          <w:i/>
          <w:sz w:val="22"/>
          <w:szCs w:val="22"/>
        </w:rPr>
        <w:t xml:space="preserve">CAPACITE TECHNIQUE ET PROFESSIONNELLE</w:t>
      </w:r>
      <w:bookmarkEnd w:id="21"/>
      <w:r/>
      <w:r>
        <w:rPr>
          <w:rFonts w:asciiTheme="minorHAnsi" w:hAnsiTheme="minorHAnsi" w:cstheme="minorHAnsi"/>
          <w:i/>
          <w:sz w:val="22"/>
          <w:szCs w:val="22"/>
        </w:rPr>
      </w:r>
    </w:p>
    <w:p w14:paraId="6EAE9667" w14:textId="77777777">
      <w:pPr>
        <w:pStyle w:val="1277"/>
        <w:numPr>
          <w:ilvl w:val="0"/>
          <w:numId w:val="46"/>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Capacité technique et professionnelle des candidats (personne morale) : </w:t>
      </w:r>
      <w:r>
        <w:rPr>
          <w:rFonts w:asciiTheme="minorHAnsi" w:hAnsiTheme="minorHAnsi" w:cstheme="minorHAnsi"/>
          <w:sz w:val="22"/>
          <w:szCs w:val="22"/>
        </w:rPr>
      </w:r>
    </w:p>
    <w:p w14:paraId="3ACCD651" w14:textId="77777777">
      <w:pPr>
        <w:pStyle w:val="1277"/>
        <w:numPr>
          <w:ilvl w:val="1"/>
          <w:numId w:val="45"/>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Disposer d’une expertise avérée dans un ou plusieurs secteurs de l’économie bleue suivant : politiques publiques et développement territor</w:t>
      </w:r>
      <w:r>
        <w:rPr>
          <w:rFonts w:asciiTheme="minorHAnsi" w:hAnsiTheme="minorHAnsi" w:cstheme="minorHAnsi"/>
          <w:sz w:val="22"/>
          <w:szCs w:val="22"/>
        </w:rPr>
        <w:t xml:space="preserve">ial, statistiques et comptabilité nationale, génie maritime ou portuaire, génie environnemental ou industriel, développement durable et management QHSE, gestion et conservation de l’environnement, gestion des ressources halieutiques, gestion du tourisme ; </w:t>
      </w:r>
      <w:r>
        <w:rPr>
          <w:rFonts w:asciiTheme="minorHAnsi" w:hAnsiTheme="minorHAnsi" w:cstheme="minorHAnsi"/>
          <w:sz w:val="22"/>
          <w:szCs w:val="22"/>
        </w:rPr>
      </w:r>
    </w:p>
    <w:p w14:paraId="5F46C6A7" w14:textId="70CC8EF2">
      <w:pPr>
        <w:pStyle w:val="1277"/>
        <w:numPr>
          <w:ilvl w:val="1"/>
          <w:numId w:val="45"/>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Justifier d’au moins dix (10) ans d’expérience avérée dans la conduite de diagnostic/évaluation de stratégie </w:t>
      </w:r>
      <w:r>
        <w:rPr>
          <w:rFonts w:asciiTheme="minorHAnsi" w:hAnsiTheme="minorHAnsi" w:cstheme="minorHAnsi"/>
          <w:sz w:val="22"/>
          <w:szCs w:val="22"/>
        </w:rPr>
        <w:t xml:space="preserve">notamment </w:t>
      </w:r>
      <w:r>
        <w:rPr>
          <w:rFonts w:asciiTheme="minorHAnsi" w:hAnsiTheme="minorHAnsi" w:cstheme="minorHAnsi"/>
          <w:sz w:val="22"/>
          <w:szCs w:val="22"/>
        </w:rPr>
        <w:t xml:space="preserve">d’économie bleue, de comptes nationaux, de formulation de politiques publiques nationales ou sectorielles. ; </w:t>
      </w:r>
      <w:r>
        <w:rPr>
          <w:rFonts w:asciiTheme="minorHAnsi" w:hAnsiTheme="minorHAnsi" w:cstheme="minorHAnsi"/>
          <w:sz w:val="22"/>
          <w:szCs w:val="22"/>
        </w:rPr>
      </w:r>
    </w:p>
    <w:p w14:paraId="393FDDB8" w14:textId="77777777">
      <w:pPr>
        <w:pStyle w:val="1277"/>
        <w:numPr>
          <w:ilvl w:val="1"/>
          <w:numId w:val="45"/>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Connaissance des conventions internationales dans les domaines de l’économie et du commerce, des secteurs économiques concernés par la présente mission, de l’environnement et des enjeux régionaux (golfe de Guinée et Afrique de l’Ouest).</w:t>
      </w:r>
      <w:r>
        <w:rPr>
          <w:rFonts w:asciiTheme="minorHAnsi" w:hAnsiTheme="minorHAnsi" w:cstheme="minorHAnsi"/>
          <w:sz w:val="22"/>
          <w:szCs w:val="22"/>
        </w:rPr>
      </w:r>
    </w:p>
    <w:p w14:paraId="6229A8A5" w14:textId="77777777">
      <w:pPr>
        <w:pStyle w:val="1277"/>
        <w:numPr>
          <w:ilvl w:val="1"/>
          <w:numId w:val="45"/>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Bonne compréhension des rôles et responsabilités des différentes parties prenantes, y compris les autorités et les opérateurs des différents secteurs économiques, sociaux et environnementaux.</w:t>
      </w:r>
      <w:r>
        <w:rPr>
          <w:rFonts w:asciiTheme="minorHAnsi" w:hAnsiTheme="minorHAnsi" w:cstheme="minorHAnsi"/>
          <w:sz w:val="22"/>
          <w:szCs w:val="22"/>
        </w:rPr>
      </w:r>
    </w:p>
    <w:p w14:paraId="7337A2BF" w14:textId="77777777">
      <w:pPr>
        <w:pStyle w:val="1277"/>
        <w:pBdr/>
        <w:spacing w:before="120"/>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386B6D4D" w14:textId="18A3AFC3">
      <w:pPr>
        <w:pStyle w:val="1277"/>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Dans le cas de groupement, c</w:t>
      </w:r>
      <w:r>
        <w:rPr>
          <w:rFonts w:asciiTheme="minorHAnsi" w:hAnsiTheme="minorHAnsi" w:cstheme="minorHAnsi"/>
          <w:sz w:val="22"/>
          <w:szCs w:val="22"/>
        </w:rPr>
        <w:t xml:space="preserve">haque cotraitant membre du groupement doit fournir l’ensemble des pièces exigées au titre du présent règlement de consultation. Pour justifier de ses capacités professionnelles, techniques et financières, le candidat peut demander que soient prises </w:t>
      </w:r>
      <w:r>
        <w:rPr>
          <w:rFonts w:asciiTheme="minorHAnsi" w:hAnsiTheme="minorHAnsi" w:cstheme="minorHAnsi"/>
          <w:sz w:val="22"/>
          <w:szCs w:val="22"/>
        </w:rPr>
        <w:t xml:space="preserve">en compte les capacités professionnelles, techniques et financières d'un ou de plusieurs opérateurs économiques. Dans ce cas, il doit justifier des capacités de ce ou ces autres opérateurs économiques et du fait qu'il en dispose pour l'exécution du marché.</w:t>
      </w:r>
      <w:r>
        <w:rPr>
          <w:rFonts w:asciiTheme="minorHAnsi" w:hAnsiTheme="minorHAnsi" w:cstheme="minorHAnsi"/>
          <w:sz w:val="22"/>
          <w:szCs w:val="22"/>
        </w:rPr>
      </w:r>
    </w:p>
    <w:p w14:paraId="0C4CFCD1"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t xml:space="preserve">E</w:t>
      </w:r>
      <w:r>
        <w:rPr>
          <w:rFonts w:asciiTheme="minorHAnsi" w:hAnsiTheme="minorHAnsi" w:cstheme="minorHAnsi"/>
          <w:sz w:val="22"/>
          <w:szCs w:val="22"/>
        </w:rPr>
        <w:t xml:space="preserve">n cas de groupement momentané d'entreprises, l'appréciation de ces conditions de participation est globale ; le dossier de candidature devra comporter une habilitation du mandataire par ses cotraitants pouvant prendre la forme du formulaire DC1 en vigueur.</w:t>
      </w:r>
      <w:r>
        <w:rPr>
          <w:rFonts w:asciiTheme="minorHAnsi" w:hAnsiTheme="minorHAnsi" w:cstheme="minorHAnsi"/>
          <w:sz w:val="22"/>
          <w:szCs w:val="22"/>
        </w:rPr>
      </w:r>
    </w:p>
    <w:p w14:paraId="008B893D" w14:textId="77777777">
      <w:pPr>
        <w:pStyle w:val="1315"/>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041C9C31" w14:textId="77777777">
      <w:pPr>
        <w:pStyle w:val="1073"/>
        <w:pBdr/>
        <w:spacing w:after="120" w:before="120" w:line="240" w:lineRule="auto"/>
        <w:ind/>
        <w:jc w:val="both"/>
        <w:rPr>
          <w:rFonts w:asciiTheme="minorHAnsi" w:hAnsiTheme="minorHAnsi" w:cstheme="minorHAnsi"/>
          <w:sz w:val="22"/>
          <w:szCs w:val="22"/>
          <w:u w:val="single"/>
        </w:rPr>
      </w:pPr>
      <w:r/>
      <w:bookmarkStart w:id="22" w:name="__RefHeading__47578_1391709442"/>
      <w:r/>
      <w:bookmarkStart w:id="23" w:name="_Toc242880924"/>
      <w:r>
        <w:rPr>
          <w:rFonts w:asciiTheme="minorHAnsi" w:hAnsiTheme="minorHAnsi" w:cstheme="minorHAnsi"/>
          <w:sz w:val="22"/>
          <w:szCs w:val="22"/>
          <w:u w:val="single"/>
        </w:rPr>
        <w:t xml:space="preserve">Précisions concernant les groupements d'opérateurs économiques</w:t>
      </w:r>
      <w:bookmarkEnd w:id="22"/>
      <w:r>
        <w:rPr>
          <w:rFonts w:asciiTheme="minorHAnsi" w:hAnsiTheme="minorHAnsi" w:cstheme="minorHAnsi"/>
          <w:sz w:val="22"/>
          <w:szCs w:val="22"/>
          <w:u w:val="single"/>
        </w:rPr>
        <w:t xml:space="preserve"> (consortium)</w:t>
      </w:r>
      <w:bookmarkEnd w:id="23"/>
      <w:r/>
      <w:r>
        <w:rPr>
          <w:rFonts w:asciiTheme="minorHAnsi" w:hAnsiTheme="minorHAnsi" w:cstheme="minorHAnsi"/>
          <w:sz w:val="22"/>
          <w:szCs w:val="22"/>
          <w:u w:val="single"/>
        </w:rPr>
      </w:r>
    </w:p>
    <w:p w14:paraId="58A0ABAA"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26E67002" w14:textId="77777777">
      <w:pPr>
        <w:pStyle w:val="1073"/>
        <w:pBdr/>
        <w:spacing w:after="120" w:before="120" w:line="240" w:lineRule="auto"/>
        <w:ind w:left="708"/>
        <w:jc w:val="both"/>
        <w:rPr>
          <w:rFonts w:asciiTheme="minorHAnsi" w:hAnsiTheme="minorHAnsi" w:cstheme="minorHAnsi"/>
          <w:i/>
          <w:sz w:val="22"/>
          <w:szCs w:val="22"/>
        </w:rPr>
      </w:pPr>
      <w:r/>
      <w:bookmarkStart w:id="24" w:name="_Toc242880925"/>
      <w:r>
        <w:rPr>
          <w:rFonts w:asciiTheme="minorHAnsi" w:hAnsiTheme="minorHAnsi" w:cstheme="minorHAnsi"/>
          <w:i/>
          <w:sz w:val="22"/>
          <w:szCs w:val="22"/>
        </w:rPr>
        <w:t xml:space="preserve">Motifs d'exclusion en cas de groupement d'opérateurs économiques</w:t>
      </w:r>
      <w:bookmarkEnd w:id="24"/>
      <w:r/>
      <w:r>
        <w:rPr>
          <w:rFonts w:asciiTheme="minorHAnsi" w:hAnsiTheme="minorHAnsi" w:cstheme="minorHAnsi"/>
          <w:i/>
          <w:sz w:val="22"/>
          <w:szCs w:val="22"/>
        </w:rPr>
      </w:r>
    </w:p>
    <w:p w14:paraId="7163CFBF"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Lorsque le motif d'exclusion de la procédure de passation concerne un des membres du groupement, l’autori</w:t>
      </w:r>
      <w:r>
        <w:rPr>
          <w:rFonts w:asciiTheme="minorHAnsi" w:hAnsiTheme="minorHAnsi" w:cstheme="minorHAnsi"/>
          <w:bCs/>
          <w:iCs/>
          <w:sz w:val="22"/>
          <w:szCs w:val="22"/>
          <w:lang w:bidi="ar-SA"/>
        </w:rPr>
        <w:t xml:space="preserve">té contractante exige son remplacement par une personne qui ne fait pas l'objet d'un motif d'exclusion dans un délai de 10 jours à compter de la réception de cette demande par le mandataire du groupement. A défaut, le groupement est exclu de la procédure ;</w:t>
      </w:r>
      <w:r>
        <w:rPr>
          <w:rFonts w:asciiTheme="minorHAnsi" w:hAnsiTheme="minorHAnsi" w:cstheme="minorHAnsi"/>
          <w:bCs/>
          <w:iCs/>
          <w:sz w:val="22"/>
          <w:szCs w:val="22"/>
          <w:lang w:bidi="ar-SA"/>
        </w:rPr>
      </w:r>
    </w:p>
    <w:p w14:paraId="1D25B61E" w14:textId="77777777">
      <w:pPr>
        <w:pStyle w:val="1073"/>
        <w:pBdr/>
        <w:spacing w:after="120" w:before="120" w:line="240" w:lineRule="auto"/>
        <w:ind w:left="708"/>
        <w:jc w:val="both"/>
        <w:rPr>
          <w:rFonts w:asciiTheme="minorHAnsi" w:hAnsiTheme="minorHAnsi" w:cstheme="minorHAnsi"/>
          <w:i/>
          <w:sz w:val="22"/>
          <w:szCs w:val="22"/>
        </w:rPr>
      </w:pPr>
      <w:r/>
      <w:bookmarkStart w:id="25" w:name="_Toc242880926"/>
      <w:r>
        <w:rPr>
          <w:rFonts w:asciiTheme="minorHAnsi" w:hAnsiTheme="minorHAnsi" w:cstheme="minorHAnsi"/>
          <w:i/>
          <w:sz w:val="22"/>
          <w:szCs w:val="22"/>
        </w:rPr>
        <w:t xml:space="preserve">Forme du groupement</w:t>
      </w:r>
      <w:bookmarkEnd w:id="25"/>
      <w:r/>
      <w:r>
        <w:rPr>
          <w:rFonts w:asciiTheme="minorHAnsi" w:hAnsiTheme="minorHAnsi" w:cstheme="minorHAnsi"/>
          <w:i/>
          <w:sz w:val="22"/>
          <w:szCs w:val="22"/>
        </w:rPr>
      </w:r>
    </w:p>
    <w:p w14:paraId="4AC86DBF"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La forme du groupement est conjointe. Le mandataire est solidaire pour l'exécution du marché de chacun des membres du groupement pour ses obligations contractuelles à l'égard d’Expertise France.</w:t>
      </w:r>
      <w:r>
        <w:rPr>
          <w:rFonts w:asciiTheme="minorHAnsi" w:hAnsiTheme="minorHAnsi" w:cstheme="minorHAnsi"/>
          <w:bCs/>
          <w:iCs/>
          <w:sz w:val="22"/>
          <w:szCs w:val="22"/>
          <w:lang w:bidi="ar-SA"/>
        </w:rPr>
      </w:r>
    </w:p>
    <w:p w14:paraId="062711DB"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r>
      <w:r>
        <w:rPr>
          <w:rFonts w:asciiTheme="minorHAnsi" w:hAnsiTheme="minorHAnsi" w:cstheme="minorHAnsi"/>
          <w:bCs/>
          <w:iCs/>
          <w:sz w:val="22"/>
          <w:szCs w:val="22"/>
          <w:lang w:bidi="ar-SA"/>
        </w:rPr>
      </w:r>
    </w:p>
    <w:p w14:paraId="23E4AD64" w14:textId="77777777">
      <w:pPr>
        <w:pStyle w:val="1073"/>
        <w:pBdr/>
        <w:spacing w:after="120" w:before="120" w:line="240" w:lineRule="auto"/>
        <w:ind/>
        <w:jc w:val="both"/>
        <w:rPr>
          <w:rFonts w:asciiTheme="minorHAnsi" w:hAnsiTheme="minorHAnsi" w:cstheme="minorBidi"/>
          <w:sz w:val="22"/>
          <w:szCs w:val="22"/>
          <w:u w:val="single"/>
        </w:rPr>
      </w:pPr>
      <w:r/>
      <w:bookmarkStart w:id="26" w:name="__RefHeading__47580_1391709442"/>
      <w:r/>
      <w:bookmarkStart w:id="27" w:name="_Toc242880927"/>
      <w:r>
        <w:rPr>
          <w:rFonts w:asciiTheme="minorHAnsi" w:hAnsiTheme="minorHAnsi" w:cstheme="minorBidi"/>
          <w:sz w:val="22"/>
          <w:szCs w:val="22"/>
          <w:u w:val="single"/>
        </w:rPr>
        <w:t xml:space="preserve">Précisions concernant la sous-traitance</w:t>
      </w:r>
      <w:bookmarkEnd w:id="26"/>
      <w:r/>
      <w:bookmarkEnd w:id="27"/>
      <w:r/>
      <w:r>
        <w:rPr>
          <w:rFonts w:asciiTheme="minorHAnsi" w:hAnsiTheme="minorHAnsi" w:cstheme="minorBidi"/>
          <w:sz w:val="22"/>
          <w:szCs w:val="22"/>
          <w:u w:val="single"/>
        </w:rPr>
      </w:r>
    </w:p>
    <w:p w14:paraId="16DC9CF6" w14:textId="77777777">
      <w:pPr>
        <w:pStyle w:val="1073"/>
        <w:pBdr/>
        <w:spacing w:after="120" w:before="120" w:line="240" w:lineRule="auto"/>
        <w:ind w:left="708"/>
        <w:jc w:val="both"/>
        <w:rPr>
          <w:rFonts w:asciiTheme="minorHAnsi" w:hAnsiTheme="minorHAnsi" w:cstheme="minorHAnsi"/>
          <w:i/>
          <w:sz w:val="22"/>
          <w:szCs w:val="22"/>
        </w:rPr>
      </w:pPr>
      <w:r/>
      <w:bookmarkStart w:id="28" w:name="_Toc242880928"/>
      <w:r>
        <w:rPr>
          <w:rFonts w:asciiTheme="minorHAnsi" w:hAnsiTheme="minorHAnsi" w:cstheme="minorHAnsi"/>
          <w:i/>
          <w:sz w:val="22"/>
          <w:szCs w:val="22"/>
        </w:rPr>
        <w:t xml:space="preserve">Motifs d'exclusion en cas de sous-traitance</w:t>
      </w:r>
      <w:bookmarkEnd w:id="28"/>
      <w:r/>
      <w:r>
        <w:rPr>
          <w:rFonts w:asciiTheme="minorHAnsi" w:hAnsiTheme="minorHAnsi" w:cstheme="minorHAnsi"/>
          <w:i/>
          <w:sz w:val="22"/>
          <w:szCs w:val="22"/>
        </w:rPr>
      </w:r>
    </w:p>
    <w:p w14:paraId="287E55B9"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Les personnes à l'encontre desquelles il existe un motif d'exclusion ne peuvent être acceptées en tant que sous-traitant.</w:t>
      </w:r>
      <w:r>
        <w:rPr>
          <w:rFonts w:asciiTheme="minorHAnsi" w:hAnsiTheme="minorHAnsi" w:cstheme="minorHAnsi"/>
          <w:bCs/>
          <w:iCs/>
          <w:sz w:val="22"/>
          <w:szCs w:val="22"/>
          <w:lang w:bidi="ar-SA"/>
        </w:rPr>
      </w:r>
    </w:p>
    <w:p w14:paraId="11AB5135" w14:textId="77777777">
      <w:pPr>
        <w:pStyle w:val="1315"/>
        <w:pBdr/>
        <w:spacing/>
        <w:ind/>
        <w:rPr>
          <w:rFonts w:asciiTheme="minorHAnsi" w:hAnsiTheme="minorHAnsi" w:cstheme="minorBidi"/>
          <w:sz w:val="22"/>
          <w:szCs w:val="22"/>
          <w:lang w:bidi="ar-SA"/>
        </w:rPr>
      </w:pPr>
      <w:r>
        <w:rPr>
          <w:rFonts w:asciiTheme="minorHAnsi" w:hAnsiTheme="minorHAnsi" w:cstheme="minorBidi"/>
          <w:sz w:val="22"/>
          <w:szCs w:val="22"/>
          <w:lang w:bidi="ar-SA"/>
        </w:rPr>
        <w:t xml:space="preserve">Lorsque le sous-traitant à l'encontre duquel il existe un motif d'exclusion est présenté au stade de la can</w:t>
      </w:r>
      <w:r>
        <w:rPr>
          <w:rFonts w:asciiTheme="minorHAnsi" w:hAnsiTheme="minorHAnsi" w:cstheme="minorBidi"/>
          <w:sz w:val="22"/>
          <w:szCs w:val="22"/>
          <w:lang w:bidi="ar-SA"/>
        </w:rPr>
        <w:t xml:space="preserve">didature, le pouvoir adjudicateur exige son remplacement par une personne qui ne fait pas l'objet d'un motif d'exclusion, dans un délai de 10 jours à compter de la réception de cette demande par le candidat. A défaut, le candidat est exclu de la procédure.</w:t>
      </w:r>
      <w:r>
        <w:rPr>
          <w:rFonts w:asciiTheme="minorHAnsi" w:hAnsiTheme="minorHAnsi" w:cstheme="minorBidi"/>
          <w:sz w:val="22"/>
          <w:szCs w:val="22"/>
          <w:lang w:bidi="ar-SA"/>
        </w:rPr>
      </w:r>
    </w:p>
    <w:p w14:paraId="74571E2A" w14:textId="77777777">
      <w:pPr>
        <w:pStyle w:val="1073"/>
        <w:pBdr/>
        <w:spacing w:after="120" w:before="120" w:line="240" w:lineRule="auto"/>
        <w:ind w:left="708"/>
        <w:jc w:val="both"/>
        <w:rPr>
          <w:rFonts w:asciiTheme="minorHAnsi" w:hAnsiTheme="minorHAnsi" w:cstheme="minorHAnsi"/>
          <w:i/>
          <w:sz w:val="22"/>
          <w:szCs w:val="22"/>
        </w:rPr>
      </w:pPr>
      <w:r>
        <w:rPr>
          <w:rFonts w:asciiTheme="minorHAnsi" w:hAnsiTheme="minorHAnsi" w:cstheme="minorHAnsi"/>
          <w:i/>
          <w:sz w:val="22"/>
          <w:szCs w:val="22"/>
        </w:rPr>
        <w:t xml:space="preserve"> </w:t>
      </w:r>
      <w:bookmarkStart w:id="29" w:name="_Toc242880929"/>
      <w:r>
        <w:rPr>
          <w:rFonts w:asciiTheme="minorHAnsi" w:hAnsiTheme="minorHAnsi" w:cstheme="minorHAnsi"/>
          <w:i/>
          <w:sz w:val="22"/>
          <w:szCs w:val="22"/>
        </w:rPr>
        <w:t xml:space="preserve">Présentation d’un sous-traitant</w:t>
      </w:r>
      <w:bookmarkEnd w:id="29"/>
      <w:r/>
      <w:r>
        <w:rPr>
          <w:rFonts w:asciiTheme="minorHAnsi" w:hAnsiTheme="minorHAnsi" w:cstheme="minorHAnsi"/>
          <w:i/>
          <w:sz w:val="22"/>
          <w:szCs w:val="22"/>
        </w:rPr>
      </w:r>
    </w:p>
    <w:p w14:paraId="4D2D2F23" w14:textId="77777777">
      <w:pPr>
        <w:pStyle w:val="1315"/>
        <w:pBdr/>
        <w:spacing/>
        <w:ind/>
        <w:rPr>
          <w:rFonts w:asciiTheme="minorHAnsi" w:hAnsiTheme="minorHAnsi" w:cstheme="minorHAnsi"/>
          <w:bCs/>
          <w:iCs/>
          <w:sz w:val="22"/>
          <w:szCs w:val="22"/>
          <w:lang w:bidi="ar-SA"/>
        </w:rPr>
      </w:pPr>
      <w:r>
        <w:rPr>
          <w:rFonts w:asciiTheme="minorHAnsi" w:hAnsiTheme="minorHAnsi" w:cstheme="minorHAnsi"/>
          <w:bCs/>
          <w:iCs/>
          <w:sz w:val="22"/>
          <w:szCs w:val="22"/>
          <w:lang w:bidi="ar-SA"/>
        </w:rPr>
        <w:t xml:space="preserve">La présentation d'un sous-traitant se fait à l'aide de l'imprimé DC 4 (Déclaration de sous-traitance)</w:t>
      </w:r>
      <w:r>
        <w:rPr>
          <w:rStyle w:val="1290"/>
          <w:rFonts w:asciiTheme="minorHAnsi" w:hAnsiTheme="minorHAnsi" w:cstheme="minorHAnsi"/>
          <w:bCs/>
          <w:iCs/>
          <w:sz w:val="22"/>
          <w:szCs w:val="22"/>
          <w:lang w:bidi="ar-SA"/>
        </w:rPr>
        <w:footnoteReference w:id="2"/>
      </w:r>
      <w:r>
        <w:rPr>
          <w:rFonts w:asciiTheme="minorHAnsi" w:hAnsiTheme="minorHAnsi" w:cstheme="minorHAnsi"/>
          <w:bCs/>
          <w:iCs/>
          <w:sz w:val="22"/>
          <w:szCs w:val="22"/>
          <w:lang w:bidi="ar-SA"/>
        </w:rPr>
        <w:t xml:space="preserve"> dûment rempli par le sous-traitant</w:t>
      </w:r>
      <w:r>
        <w:rPr>
          <w:rFonts w:asciiTheme="minorHAnsi" w:hAnsiTheme="minorHAnsi" w:cstheme="minorHAnsi"/>
          <w:bCs/>
          <w:iCs/>
          <w:sz w:val="22"/>
          <w:szCs w:val="22"/>
          <w:lang w:bidi="ar-SA"/>
        </w:rPr>
        <w:t xml:space="preserve"> et le candidat, comportant l'indication des capacités professionnelles, techniques et financières du sous-traitant ainsi que la déclaration sur l'honneur que le sous-traitant ne se trouve pas sous le coup d'une interdiction d'accéder aux marchés publics. </w:t>
      </w:r>
      <w:r>
        <w:rPr>
          <w:rFonts w:asciiTheme="minorHAnsi" w:hAnsiTheme="minorHAnsi" w:cstheme="minorHAnsi"/>
          <w:bCs/>
          <w:iCs/>
          <w:sz w:val="22"/>
          <w:szCs w:val="22"/>
          <w:lang w:bidi="ar-SA"/>
        </w:rPr>
      </w:r>
    </w:p>
    <w:p w14:paraId="5976318C" w14:textId="77777777">
      <w:pPr>
        <w:pStyle w:val="1315"/>
        <w:pBdr/>
        <w:spacing/>
        <w:ind/>
        <w:rPr>
          <w:rFonts w:eastAsia="Times" w:asciiTheme="minorHAnsi" w:hAnsiTheme="minorHAnsi" w:cstheme="minorHAnsi"/>
          <w:bCs/>
          <w:iCs/>
          <w:sz w:val="22"/>
          <w:szCs w:val="22"/>
          <w:lang w:eastAsia="fr-FR" w:bidi="ar-SA"/>
        </w:rPr>
      </w:pPr>
      <w:r>
        <w:rPr>
          <w:rFonts w:eastAsia="Times" w:asciiTheme="minorHAnsi" w:hAnsiTheme="minorHAnsi" w:cstheme="minorHAnsi"/>
          <w:bCs/>
          <w:iCs/>
          <w:sz w:val="22"/>
          <w:szCs w:val="22"/>
          <w:lang w:eastAsia="fr-FR" w:bidi="ar-SA"/>
        </w:rPr>
      </w:r>
      <w:r>
        <w:rPr>
          <w:rFonts w:eastAsia="Times" w:asciiTheme="minorHAnsi" w:hAnsiTheme="minorHAnsi" w:cstheme="minorHAnsi"/>
          <w:bCs/>
          <w:iCs/>
          <w:sz w:val="22"/>
          <w:szCs w:val="22"/>
          <w:lang w:eastAsia="fr-FR" w:bidi="ar-SA"/>
        </w:rPr>
      </w:r>
    </w:p>
    <w:p w14:paraId="2657ADEA"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30" w:name="_Toc242880930"/>
      <w:r>
        <w:rPr>
          <w:rFonts w:asciiTheme="minorHAnsi" w:hAnsiTheme="minorHAnsi" w:cstheme="minorHAnsi"/>
          <w:b/>
          <w:caps/>
          <w:sz w:val="28"/>
          <w:szCs w:val="22"/>
          <w:u w:val="single"/>
        </w:rPr>
        <w:t xml:space="preserve">Présentation des plis et modalités de depôt</w:t>
      </w:r>
      <w:bookmarkEnd w:id="30"/>
      <w:r/>
      <w:r>
        <w:rPr>
          <w:rFonts w:asciiTheme="minorHAnsi" w:hAnsiTheme="minorHAnsi" w:cstheme="minorHAnsi"/>
          <w:b/>
          <w:caps/>
          <w:sz w:val="28"/>
          <w:szCs w:val="22"/>
          <w:u w:val="single"/>
        </w:rPr>
      </w:r>
    </w:p>
    <w:p w14:paraId="0CB7AC9F" w14:textId="77777777">
      <w:pPr>
        <w:pStyle w:val="1265"/>
        <w:widowControl w:val="false"/>
        <w:pBdr/>
        <w:spacing/>
        <w:ind w:firstLine="0" w:left="0"/>
        <w:rPr>
          <w:rFonts w:asciiTheme="minorHAnsi" w:hAnsiTheme="minorHAnsi" w:cstheme="minorHAnsi"/>
          <w:szCs w:val="22"/>
        </w:rPr>
      </w:pPr>
      <w:r>
        <w:rPr>
          <w:rFonts w:asciiTheme="minorHAnsi" w:hAnsiTheme="minorHAnsi" w:cstheme="minorHAnsi"/>
          <w:szCs w:val="22"/>
        </w:rPr>
        <w:t xml:space="preserve">L</w:t>
      </w:r>
      <w:r>
        <w:rPr>
          <w:rFonts w:asciiTheme="minorHAnsi" w:hAnsiTheme="minorHAnsi" w:cstheme="minorHAnsi"/>
          <w:szCs w:val="22"/>
        </w:rPr>
        <w:t xml:space="preserve">es soumissionnaires remettent un dossier complet comprenant les pièces mentionnées ci-après. Les documents demandés doivent être signés par le soumissionnaire, le mandataire du groupement momentané d'entreprises ou chacun des membres de ce même groupement.</w:t>
      </w:r>
      <w:r>
        <w:rPr>
          <w:rFonts w:asciiTheme="minorHAnsi" w:hAnsiTheme="minorHAnsi" w:cstheme="minorHAnsi"/>
          <w:szCs w:val="22"/>
        </w:rPr>
      </w:r>
    </w:p>
    <w:p w14:paraId="7D661597" w14:textId="77777777">
      <w:pPr>
        <w:pStyle w:val="1073"/>
        <w:pBdr/>
        <w:spacing w:after="120" w:before="120" w:line="240" w:lineRule="auto"/>
        <w:ind/>
        <w:jc w:val="both"/>
        <w:rPr>
          <w:rFonts w:asciiTheme="minorHAnsi" w:hAnsiTheme="minorHAnsi" w:cstheme="minorHAnsi"/>
          <w:sz w:val="22"/>
          <w:szCs w:val="22"/>
          <w:u w:val="single"/>
        </w:rPr>
      </w:pPr>
      <w:r/>
      <w:bookmarkStart w:id="31" w:name="_Toc242880931"/>
      <w:r>
        <w:rPr>
          <w:rFonts w:asciiTheme="minorHAnsi" w:hAnsiTheme="minorHAnsi" w:cstheme="minorHAnsi"/>
          <w:sz w:val="22"/>
          <w:szCs w:val="22"/>
          <w:u w:val="single"/>
        </w:rPr>
        <w:t xml:space="preserve">Pièces constitutives de la candidature</w:t>
      </w:r>
      <w:bookmarkEnd w:id="31"/>
      <w:r/>
      <w:r>
        <w:rPr>
          <w:rFonts w:asciiTheme="minorHAnsi" w:hAnsiTheme="minorHAnsi" w:cstheme="minorHAnsi"/>
          <w:sz w:val="22"/>
          <w:szCs w:val="22"/>
          <w:u w:val="single"/>
        </w:rPr>
      </w:r>
    </w:p>
    <w:p w14:paraId="50574D26"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candidats remettent les éléments de candidatures suivants :</w:t>
      </w:r>
      <w:r>
        <w:rPr>
          <w:rFonts w:asciiTheme="minorHAnsi" w:hAnsiTheme="minorHAnsi" w:cstheme="minorHAnsi"/>
          <w:sz w:val="22"/>
          <w:szCs w:val="22"/>
        </w:rPr>
      </w:r>
    </w:p>
    <w:p w14:paraId="4037780E" w14:textId="77777777">
      <w:pPr>
        <w:pStyle w:val="1277"/>
        <w:numPr>
          <w:ilvl w:val="0"/>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Une preuve de l’enregistrement du candidat au registre des sociétés (K-bis ou équivalent) ;</w:t>
      </w:r>
      <w:r>
        <w:rPr>
          <w:rFonts w:eastAsia="Times" w:asciiTheme="minorHAnsi" w:hAnsiTheme="minorHAnsi" w:cstheme="minorHAnsi"/>
          <w:color w:val="auto"/>
          <w:sz w:val="22"/>
          <w:szCs w:val="22"/>
        </w:rPr>
      </w:r>
    </w:p>
    <w:p w14:paraId="2B059557" w14:textId="77777777">
      <w:pPr>
        <w:pStyle w:val="1277"/>
        <w:numPr>
          <w:ilvl w:val="0"/>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Le formulaire de candidature comprenant la déclaration sur l'honneur relative aux critères d'exclusion, à l'absence de conflit d'intérêt et la fiche d’identité tiers ;</w:t>
      </w:r>
      <w:r>
        <w:rPr>
          <w:rFonts w:asciiTheme="minorHAnsi" w:hAnsiTheme="minorHAnsi" w:cstheme="minorHAnsi"/>
          <w:sz w:val="22"/>
          <w:szCs w:val="22"/>
        </w:rPr>
      </w:r>
    </w:p>
    <w:p w14:paraId="103F05CC" w14:textId="77777777">
      <w:pPr>
        <w:pStyle w:val="1277"/>
        <w:numPr>
          <w:ilvl w:val="0"/>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Attestations d’assurance responsabilité civile et/ou professionnelle en cours de validité ;</w:t>
      </w:r>
      <w:r>
        <w:rPr>
          <w:rFonts w:eastAsia="Times" w:asciiTheme="minorHAnsi" w:hAnsiTheme="minorHAnsi" w:cstheme="minorHAnsi"/>
          <w:color w:val="auto"/>
          <w:sz w:val="22"/>
          <w:szCs w:val="22"/>
        </w:rPr>
      </w:r>
    </w:p>
    <w:p w14:paraId="5CCE18C2" w14:textId="77777777">
      <w:pPr>
        <w:pStyle w:val="1277"/>
        <w:numPr>
          <w:ilvl w:val="0"/>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Le formulaire de vérification de conformité au RGPD joint, permettant de vérifier la mise en œuvre par le soumissionnaire de mesures techniques et organisationnelles appropriées, de sorte que le </w:t>
      </w:r>
      <w:r>
        <w:rPr>
          <w:rFonts w:asciiTheme="minorHAnsi" w:hAnsiTheme="minorHAnsi" w:cstheme="minorHAnsi"/>
          <w:sz w:val="22"/>
          <w:szCs w:val="22"/>
        </w:rPr>
        <w:t xml:space="preserve">traitement soit conforme aux obligations réglementaires et légales en matière de protection des données (RGPD et loi Informatique et Libertés) et garantisse bien à cet égard la protection des droits de la personne concernée ;</w:t>
      </w:r>
      <w:r>
        <w:rPr>
          <w:rFonts w:asciiTheme="minorHAnsi" w:hAnsiTheme="minorHAnsi" w:cstheme="minorHAnsi"/>
          <w:sz w:val="22"/>
          <w:szCs w:val="22"/>
        </w:rPr>
      </w:r>
    </w:p>
    <w:p w14:paraId="6998A669" w14:textId="77777777">
      <w:pPr>
        <w:pStyle w:val="1277"/>
        <w:numPr>
          <w:ilvl w:val="0"/>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Le cas échéant, jugement(s) prononçant le redressement judiciaire (en cas de redressement judiciaire) ;</w:t>
      </w:r>
      <w:r>
        <w:rPr>
          <w:rFonts w:asciiTheme="minorHAnsi" w:hAnsiTheme="minorHAnsi" w:cstheme="minorHAnsi"/>
          <w:sz w:val="22"/>
          <w:szCs w:val="22"/>
        </w:rPr>
      </w:r>
    </w:p>
    <w:p w14:paraId="2035057B" w14:textId="77777777">
      <w:pPr>
        <w:pStyle w:val="1277"/>
        <w:numPr>
          <w:ilvl w:val="0"/>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Un descriptif des capacités économiques et financières répondant aux conditions de participation décrites ci-après :</w:t>
      </w:r>
      <w:r>
        <w:rPr>
          <w:rFonts w:eastAsia="Times" w:asciiTheme="minorHAnsi" w:hAnsiTheme="minorHAnsi" w:cstheme="minorHAnsi"/>
          <w:color w:val="auto"/>
          <w:sz w:val="22"/>
          <w:szCs w:val="22"/>
        </w:rPr>
      </w:r>
    </w:p>
    <w:p w14:paraId="2D1FF269" w14:textId="77777777">
      <w:pPr>
        <w:pStyle w:val="1277"/>
        <w:numPr>
          <w:ilvl w:val="1"/>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Déclarations de chiffres d'affaires des trois derniers exercices comptables disponibles</w:t>
      </w:r>
      <w:r>
        <w:rPr>
          <w:rFonts w:eastAsia="Times" w:asciiTheme="minorHAnsi" w:hAnsiTheme="minorHAnsi" w:cstheme="minorHAnsi"/>
          <w:color w:val="auto"/>
          <w:sz w:val="22"/>
          <w:szCs w:val="22"/>
        </w:rPr>
      </w:r>
    </w:p>
    <w:p w14:paraId="3DA37EDC" w14:textId="77777777">
      <w:pPr>
        <w:pStyle w:val="1277"/>
        <w:numPr>
          <w:ilvl w:val="0"/>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Un descriptif des moyens humains répondant aux conditions de participation décrites ci-après</w:t>
      </w:r>
      <w:r>
        <w:rPr>
          <w:rFonts w:eastAsia="Times" w:asciiTheme="minorHAnsi" w:hAnsiTheme="minorHAnsi" w:cstheme="minorHAnsi"/>
          <w:color w:val="auto"/>
          <w:sz w:val="22"/>
          <w:szCs w:val="22"/>
        </w:rPr>
      </w:r>
    </w:p>
    <w:p w14:paraId="44469A29" w14:textId="77777777">
      <w:pPr>
        <w:pStyle w:val="1277"/>
        <w:numPr>
          <w:ilvl w:val="1"/>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Déclaration indiquant les effectifs actuels de l'entreprise et l’importance du personnel d’encadrement ;</w:t>
      </w:r>
      <w:r>
        <w:rPr>
          <w:rFonts w:asciiTheme="minorHAnsi" w:hAnsiTheme="minorHAnsi" w:cstheme="minorHAnsi"/>
          <w:sz w:val="22"/>
          <w:szCs w:val="22"/>
        </w:rPr>
      </w:r>
    </w:p>
    <w:p w14:paraId="6394E15F" w14:textId="10534C18">
      <w:pPr>
        <w:pStyle w:val="1277"/>
        <w:numPr>
          <w:ilvl w:val="1"/>
          <w:numId w:val="18"/>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Justifier d’au moins dix (10) ans d’expérience avérée </w:t>
      </w:r>
      <w:r>
        <w:rPr>
          <w:rFonts w:asciiTheme="minorHAnsi" w:hAnsiTheme="minorHAnsi" w:cstheme="minorHAnsi"/>
          <w:sz w:val="22"/>
          <w:szCs w:val="22"/>
        </w:rPr>
        <w:t xml:space="preserve">et au minimum 3 références</w:t>
      </w:r>
      <w:r>
        <w:rPr>
          <w:rFonts w:asciiTheme="minorHAnsi" w:hAnsiTheme="minorHAnsi" w:cstheme="minorHAnsi"/>
          <w:sz w:val="22"/>
          <w:szCs w:val="22"/>
        </w:rPr>
        <w:t xml:space="preserve"> pertinentes</w:t>
      </w:r>
      <w:r>
        <w:rPr>
          <w:rFonts w:asciiTheme="minorHAnsi" w:hAnsiTheme="minorHAnsi" w:cstheme="minorHAnsi"/>
          <w:sz w:val="22"/>
          <w:szCs w:val="22"/>
        </w:rPr>
        <w:t xml:space="preserve"> </w:t>
      </w:r>
      <w:r>
        <w:rPr>
          <w:rFonts w:asciiTheme="minorHAnsi" w:hAnsiTheme="minorHAnsi" w:cstheme="minorHAnsi"/>
          <w:sz w:val="22"/>
          <w:szCs w:val="22"/>
        </w:rPr>
        <w:t xml:space="preserve">dans la conduite de diagnostic/évaluation de stratégie </w:t>
      </w:r>
      <w:r>
        <w:rPr>
          <w:rFonts w:asciiTheme="minorHAnsi" w:hAnsiTheme="minorHAnsi" w:cstheme="minorHAnsi"/>
          <w:sz w:val="22"/>
          <w:szCs w:val="22"/>
        </w:rPr>
        <w:t xml:space="preserve">notamment </w:t>
      </w:r>
      <w:r>
        <w:rPr>
          <w:rFonts w:asciiTheme="minorHAnsi" w:hAnsiTheme="minorHAnsi" w:cstheme="minorHAnsi"/>
          <w:sz w:val="22"/>
          <w:szCs w:val="22"/>
        </w:rPr>
        <w:t xml:space="preserve">d’économie bleue, de comptes nationaux, de formulation de politiques publiques nationales ou sectorielles ; </w:t>
      </w:r>
      <w:r>
        <w:rPr>
          <w:rFonts w:asciiTheme="minorHAnsi" w:hAnsiTheme="minorHAnsi" w:cstheme="minorHAnsi"/>
          <w:sz w:val="22"/>
          <w:szCs w:val="22"/>
        </w:rPr>
      </w:r>
    </w:p>
    <w:p w14:paraId="6196E87B" w14:textId="77777777">
      <w:pPr>
        <w:pStyle w:val="1277"/>
        <w:numPr>
          <w:ilvl w:val="1"/>
          <w:numId w:val="18"/>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Connaissance des conventions internationales dans les domaines de l’économie et du commerce, des secteurs économiques concernés par la présente mission, de l’environnement et des enjeux régionaux (golfe de Guinée et Afrique de l’Ouest).</w:t>
      </w:r>
      <w:r>
        <w:rPr>
          <w:rFonts w:asciiTheme="minorHAnsi" w:hAnsiTheme="minorHAnsi" w:cstheme="minorHAnsi"/>
          <w:sz w:val="22"/>
          <w:szCs w:val="22"/>
        </w:rPr>
      </w:r>
    </w:p>
    <w:p w14:paraId="756190E5" w14:textId="77777777">
      <w:pPr>
        <w:pStyle w:val="1277"/>
        <w:numPr>
          <w:ilvl w:val="1"/>
          <w:numId w:val="18"/>
        </w:num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Bonne compréhension des rôles et responsabilités des différentes parties prenantes, y compris les autorités et les opérateurs des différents secteurs économiques, sociaux et environnementaux.</w:t>
      </w:r>
      <w:r>
        <w:rPr>
          <w:rFonts w:asciiTheme="minorHAnsi" w:hAnsiTheme="minorHAnsi" w:cstheme="minorHAnsi"/>
          <w:sz w:val="22"/>
          <w:szCs w:val="22"/>
        </w:rPr>
      </w:r>
    </w:p>
    <w:p w14:paraId="3B0095B5" w14:textId="77777777">
      <w:pPr>
        <w:pStyle w:val="1073"/>
        <w:pBdr/>
        <w:spacing w:after="120" w:before="120" w:line="240" w:lineRule="auto"/>
        <w:ind w:left="720"/>
        <w:jc w:val="both"/>
        <w:rPr>
          <w:rFonts w:asciiTheme="minorHAnsi" w:hAnsiTheme="minorHAnsi" w:cstheme="minorHAnsi"/>
          <w:sz w:val="22"/>
          <w:szCs w:val="22"/>
          <w:u w:val="single"/>
        </w:rPr>
      </w:pPr>
      <w:r>
        <w:rPr>
          <w:rFonts w:asciiTheme="minorHAnsi" w:hAnsiTheme="minorHAnsi" w:cstheme="minorHAnsi"/>
          <w:sz w:val="22"/>
          <w:szCs w:val="22"/>
          <w:u w:val="single"/>
        </w:rPr>
      </w:r>
      <w:r>
        <w:rPr>
          <w:rFonts w:asciiTheme="minorHAnsi" w:hAnsiTheme="minorHAnsi" w:cstheme="minorHAnsi"/>
          <w:sz w:val="22"/>
          <w:szCs w:val="22"/>
          <w:u w:val="single"/>
        </w:rPr>
      </w:r>
    </w:p>
    <w:p w14:paraId="207C059E" w14:textId="77777777">
      <w:pPr>
        <w:pStyle w:val="1073"/>
        <w:pBdr/>
        <w:spacing w:after="120" w:before="120" w:line="240" w:lineRule="auto"/>
        <w:ind w:left="720"/>
        <w:jc w:val="both"/>
        <w:rPr>
          <w:rFonts w:asciiTheme="minorHAnsi" w:hAnsiTheme="minorHAnsi" w:cstheme="minorHAnsi"/>
          <w:sz w:val="22"/>
          <w:szCs w:val="22"/>
          <w:u w:val="single"/>
        </w:rPr>
      </w:pPr>
      <w:r/>
      <w:bookmarkStart w:id="32" w:name="_Toc242880932"/>
      <w:r>
        <w:rPr>
          <w:rFonts w:asciiTheme="minorHAnsi" w:hAnsiTheme="minorHAnsi" w:cstheme="minorHAnsi"/>
          <w:sz w:val="22"/>
          <w:szCs w:val="22"/>
          <w:u w:val="single"/>
        </w:rPr>
        <w:t xml:space="preserve">Pièces constitutives de l’offre</w:t>
      </w:r>
      <w:bookmarkEnd w:id="32"/>
      <w:r/>
      <w:r>
        <w:rPr>
          <w:rFonts w:asciiTheme="minorHAnsi" w:hAnsiTheme="minorHAnsi" w:cstheme="minorHAnsi"/>
          <w:sz w:val="22"/>
          <w:szCs w:val="22"/>
          <w:u w:val="single"/>
        </w:rPr>
      </w:r>
    </w:p>
    <w:p w14:paraId="50F02F1A"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candidats remettent un dossier complet comprenant les pièces suivantes :</w:t>
      </w:r>
      <w:r>
        <w:rPr>
          <w:rFonts w:asciiTheme="minorHAnsi" w:hAnsiTheme="minorHAnsi" w:cstheme="minorHAnsi"/>
          <w:sz w:val="22"/>
          <w:szCs w:val="22"/>
        </w:rPr>
      </w:r>
    </w:p>
    <w:p w14:paraId="294BD4D5" w14:textId="77777777">
      <w:pPr>
        <w:pStyle w:val="1277"/>
        <w:numPr>
          <w:ilvl w:val="0"/>
          <w:numId w:val="18"/>
        </w:numPr>
        <w:pBdr/>
        <w:spacing/>
        <w:ind/>
        <w:jc w:val="both"/>
        <w:rPr>
          <w:rFonts w:eastAsia="Times" w:asciiTheme="minorHAnsi" w:hAnsiTheme="minorHAnsi" w:cstheme="minorHAnsi"/>
          <w:color w:val="auto"/>
          <w:sz w:val="22"/>
          <w:szCs w:val="22"/>
        </w:rPr>
      </w:pPr>
      <w:r>
        <w:rPr>
          <w:rFonts w:asciiTheme="minorHAnsi" w:hAnsiTheme="minorHAnsi" w:cstheme="minorHAnsi"/>
          <w:sz w:val="22"/>
          <w:szCs w:val="22"/>
        </w:rPr>
        <w:t xml:space="preserve">Le projet de contrat </w:t>
      </w:r>
      <w:r>
        <w:rPr>
          <w:rFonts w:eastAsia="Times" w:asciiTheme="minorHAnsi" w:hAnsiTheme="minorHAnsi" w:cstheme="minorHAnsi"/>
          <w:color w:val="auto"/>
          <w:sz w:val="22"/>
          <w:szCs w:val="22"/>
        </w:rPr>
        <w:t xml:space="preserve">dûment renseigné, daté et signé et ses annexes : </w:t>
      </w:r>
      <w:r>
        <w:rPr>
          <w:rFonts w:eastAsia="Times" w:asciiTheme="minorHAnsi" w:hAnsiTheme="minorHAnsi" w:cstheme="minorHAnsi"/>
          <w:color w:val="auto"/>
          <w:sz w:val="22"/>
          <w:szCs w:val="22"/>
        </w:rPr>
      </w:r>
    </w:p>
    <w:p w14:paraId="5D30C7CB" w14:textId="77777777">
      <w:pPr>
        <w:pStyle w:val="1277"/>
        <w:numPr>
          <w:ilvl w:val="1"/>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Cahier des charges à parapher (annexe 1 du contrat) ;</w:t>
      </w:r>
      <w:r>
        <w:rPr>
          <w:rFonts w:eastAsia="Times" w:asciiTheme="minorHAnsi" w:hAnsiTheme="minorHAnsi" w:cstheme="minorHAnsi"/>
          <w:color w:val="auto"/>
          <w:sz w:val="22"/>
          <w:szCs w:val="22"/>
        </w:rPr>
      </w:r>
    </w:p>
    <w:p w14:paraId="336D9D79" w14:textId="77777777">
      <w:pPr>
        <w:pStyle w:val="1277"/>
        <w:numPr>
          <w:ilvl w:val="1"/>
          <w:numId w:val="18"/>
        </w:numPr>
        <w:pBdr/>
        <w:spacing/>
        <w:ind/>
        <w:jc w:val="both"/>
        <w:rPr>
          <w:rFonts w:eastAsia="Times" w:asciiTheme="minorHAnsi" w:hAnsiTheme="minorHAnsi" w:cstheme="minorHAnsi"/>
          <w:color w:val="auto"/>
          <w:sz w:val="22"/>
          <w:szCs w:val="22"/>
        </w:rPr>
      </w:pPr>
      <w:r>
        <w:rPr>
          <w:rFonts w:eastAsia="Times" w:asciiTheme="minorHAnsi" w:hAnsiTheme="minorHAnsi" w:cstheme="minorHAnsi"/>
          <w:color w:val="auto"/>
          <w:sz w:val="22"/>
          <w:szCs w:val="22"/>
        </w:rPr>
        <w:t xml:space="preserve">L’annexe portant définition et conditions de réalisation des opérations de traitement des données à caractère personnel pour le compte de l’autorité contractante, dûment complétée ;</w:t>
      </w:r>
      <w:r>
        <w:rPr>
          <w:rFonts w:eastAsia="Times" w:asciiTheme="minorHAnsi" w:hAnsiTheme="minorHAnsi" w:cstheme="minorHAnsi"/>
          <w:color w:val="auto"/>
          <w:sz w:val="22"/>
          <w:szCs w:val="22"/>
        </w:rPr>
      </w:r>
    </w:p>
    <w:p w14:paraId="0F3F05EC" w14:textId="77777777">
      <w:pPr>
        <w:pStyle w:val="1265"/>
        <w:widowControl w:val="false"/>
        <w:numPr>
          <w:ilvl w:val="0"/>
          <w:numId w:val="18"/>
        </w:numPr>
        <w:pBdr/>
        <w:spacing/>
        <w:ind/>
        <w:rPr>
          <w:rFonts w:asciiTheme="minorHAnsi" w:hAnsiTheme="minorHAnsi" w:cstheme="minorHAnsi"/>
          <w:szCs w:val="22"/>
        </w:rPr>
      </w:pPr>
      <w:r>
        <w:rPr>
          <w:rFonts w:asciiTheme="minorHAnsi" w:hAnsiTheme="minorHAnsi" w:cstheme="minorHAnsi"/>
          <w:szCs w:val="22"/>
        </w:rPr>
        <w:t xml:space="preserve">Le cadre de réponse technique dûment renseigné et signé et en annexe un mémoire technique comprenant les informations suivantes</w:t>
      </w:r>
      <w:r>
        <w:rPr>
          <w:rFonts w:asciiTheme="minorHAnsi" w:hAnsiTheme="minorHAnsi" w:cstheme="minorHAnsi"/>
          <w:b/>
          <w:szCs w:val="22"/>
        </w:rPr>
        <w:t xml:space="preserve"> </w:t>
      </w:r>
      <w:r>
        <w:rPr>
          <w:rFonts w:asciiTheme="minorHAnsi" w:hAnsiTheme="minorHAnsi" w:cstheme="minorHAnsi"/>
          <w:szCs w:val="22"/>
        </w:rPr>
        <w:t xml:space="preserve">:</w:t>
      </w:r>
      <w:r>
        <w:rPr>
          <w:rFonts w:asciiTheme="minorHAnsi" w:hAnsiTheme="minorHAnsi" w:cstheme="minorHAnsi"/>
          <w:szCs w:val="22"/>
        </w:rPr>
      </w:r>
    </w:p>
    <w:p w14:paraId="7FD2F5D6" w14:textId="77777777">
      <w:pPr>
        <w:pStyle w:val="1277"/>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Méthodologie décrivant les services proposés</w:t>
      </w:r>
      <w:r>
        <w:rPr>
          <w:rFonts w:asciiTheme="minorHAnsi" w:hAnsiTheme="minorHAnsi" w:cstheme="minorHAnsi"/>
          <w:sz w:val="22"/>
          <w:szCs w:val="22"/>
        </w:rPr>
      </w:r>
    </w:p>
    <w:p w14:paraId="5B2E2168" w14:textId="77777777">
      <w:pPr>
        <w:pStyle w:val="1277"/>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Chronogramme et tableau de remise des livrables</w:t>
      </w:r>
      <w:r>
        <w:rPr>
          <w:rFonts w:asciiTheme="minorHAnsi" w:hAnsiTheme="minorHAnsi" w:cstheme="minorHAnsi"/>
          <w:sz w:val="22"/>
          <w:szCs w:val="22"/>
        </w:rPr>
      </w:r>
    </w:p>
    <w:p w14:paraId="13C466A1" w14:textId="77777777">
      <w:pPr>
        <w:pStyle w:val="1277"/>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Présentation des références de projets réalisés sur des thématiques ou dans des contextes similaires</w:t>
      </w:r>
      <w:r>
        <w:rPr>
          <w:rFonts w:asciiTheme="minorHAnsi" w:hAnsiTheme="minorHAnsi" w:cstheme="minorHAnsi"/>
          <w:sz w:val="22"/>
          <w:szCs w:val="22"/>
        </w:rPr>
      </w:r>
    </w:p>
    <w:p w14:paraId="70A1EBC7" w14:textId="77777777">
      <w:pPr>
        <w:pStyle w:val="1277"/>
        <w:numPr>
          <w:ilvl w:val="1"/>
          <w:numId w:val="18"/>
        </w:numPr>
        <w:pBdr/>
        <w:spacing/>
        <w:ind/>
        <w:jc w:val="both"/>
        <w:rPr>
          <w:rFonts w:asciiTheme="minorHAnsi" w:hAnsiTheme="minorHAnsi" w:cstheme="minorHAnsi"/>
          <w:sz w:val="22"/>
          <w:szCs w:val="22"/>
        </w:rPr>
      </w:pPr>
      <w:r>
        <w:rPr>
          <w:rFonts w:eastAsia="Times" w:asciiTheme="minorHAnsi" w:hAnsiTheme="minorHAnsi" w:cstheme="minorHAnsi"/>
          <w:color w:val="auto"/>
          <w:sz w:val="22"/>
          <w:szCs w:val="22"/>
        </w:rPr>
        <w:t xml:space="preserve">CV des experts pressentis</w:t>
      </w:r>
      <w:r>
        <w:rPr>
          <w:rFonts w:asciiTheme="minorHAnsi" w:hAnsiTheme="minorHAnsi" w:cstheme="minorHAnsi"/>
          <w:sz w:val="22"/>
          <w:szCs w:val="22"/>
        </w:rPr>
      </w:r>
    </w:p>
    <w:p w14:paraId="0EDF2177" w14:textId="77777777">
      <w:pPr>
        <w:pStyle w:val="1277"/>
        <w:numPr>
          <w:ilvl w:val="0"/>
          <w:numId w:val="18"/>
        </w:numPr>
        <w:pBdr/>
        <w:spacing/>
        <w:ind/>
        <w:jc w:val="both"/>
        <w:rPr>
          <w:rFonts w:asciiTheme="minorHAnsi" w:hAnsiTheme="minorHAnsi" w:cstheme="minorHAnsi"/>
          <w:sz w:val="22"/>
          <w:szCs w:val="22"/>
        </w:rPr>
      </w:pPr>
      <w:r>
        <w:rPr>
          <w:rFonts w:asciiTheme="minorHAnsi" w:hAnsiTheme="minorHAnsi" w:cstheme="minorHAnsi"/>
          <w:sz w:val="22"/>
          <w:szCs w:val="22"/>
        </w:rPr>
        <w:t xml:space="preserve">Le cadre de décomposition du prix global et forfaitaire dûment renseigné et signé</w:t>
      </w:r>
      <w:r>
        <w:rPr>
          <w:rFonts w:asciiTheme="minorHAnsi" w:hAnsiTheme="minorHAnsi" w:cstheme="minorHAnsi"/>
          <w:sz w:val="22"/>
          <w:szCs w:val="22"/>
        </w:rPr>
      </w:r>
    </w:p>
    <w:p w14:paraId="21138290" w14:textId="77777777">
      <w:pPr>
        <w:pStyle w:val="1073"/>
        <w:pBdr/>
        <w:spacing w:after="120" w:before="240" w:line="240" w:lineRule="auto"/>
        <w:ind/>
        <w:jc w:val="both"/>
        <w:rPr>
          <w:rFonts w:asciiTheme="minorHAnsi" w:hAnsiTheme="minorHAnsi" w:cstheme="minorHAnsi"/>
          <w:sz w:val="22"/>
          <w:szCs w:val="22"/>
          <w:u w:val="single"/>
        </w:rPr>
      </w:pPr>
      <w:r/>
      <w:bookmarkStart w:id="33" w:name="_Toc242880933"/>
      <w:r>
        <w:rPr>
          <w:rFonts w:asciiTheme="minorHAnsi" w:hAnsiTheme="minorHAnsi" w:cstheme="minorHAnsi"/>
          <w:sz w:val="22"/>
          <w:szCs w:val="22"/>
          <w:u w:val="single"/>
        </w:rPr>
        <w:t xml:space="preserve">Durée de validité des offres</w:t>
      </w:r>
      <w:bookmarkEnd w:id="33"/>
      <w:r/>
      <w:r>
        <w:rPr>
          <w:rFonts w:asciiTheme="minorHAnsi" w:hAnsiTheme="minorHAnsi" w:cstheme="minorHAnsi"/>
          <w:sz w:val="22"/>
          <w:szCs w:val="22"/>
          <w:u w:val="single"/>
        </w:rPr>
      </w:r>
    </w:p>
    <w:p w14:paraId="048487DD"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validité des offres remises par les soumissionnaires est maintenue 120 jours à compter de la date limite de remise des offres.</w:t>
      </w:r>
      <w:r>
        <w:rPr>
          <w:rFonts w:asciiTheme="minorHAnsi" w:hAnsiTheme="minorHAnsi" w:cstheme="minorHAnsi"/>
          <w:color w:val="000000"/>
          <w:sz w:val="22"/>
          <w:szCs w:val="22"/>
        </w:rPr>
      </w:r>
    </w:p>
    <w:p w14:paraId="6B5CC994" w14:textId="77777777">
      <w:pPr>
        <w:pStyle w:val="1277"/>
        <w:pBdr/>
        <w:spacing/>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61AE179E" w14:textId="77777777">
      <w:pPr>
        <w:pStyle w:val="1073"/>
        <w:pBdr/>
        <w:spacing w:after="120" w:line="240" w:lineRule="auto"/>
        <w:ind/>
        <w:jc w:val="both"/>
        <w:rPr>
          <w:rFonts w:asciiTheme="minorHAnsi" w:hAnsiTheme="minorHAnsi" w:cstheme="minorHAnsi"/>
          <w:sz w:val="22"/>
          <w:szCs w:val="22"/>
          <w:u w:val="single"/>
        </w:rPr>
      </w:pPr>
      <w:r/>
      <w:bookmarkStart w:id="34" w:name="_Toc242880934"/>
      <w:r>
        <w:rPr>
          <w:rFonts w:asciiTheme="minorHAnsi" w:hAnsiTheme="minorHAnsi" w:cstheme="minorHAnsi"/>
          <w:sz w:val="22"/>
          <w:szCs w:val="22"/>
          <w:u w:val="single"/>
        </w:rPr>
        <w:t xml:space="preserve">Modalités de remise des plis</w:t>
      </w:r>
      <w:bookmarkEnd w:id="34"/>
      <w:r/>
      <w:r>
        <w:rPr>
          <w:rFonts w:asciiTheme="minorHAnsi" w:hAnsiTheme="minorHAnsi" w:cstheme="minorHAnsi"/>
          <w:sz w:val="22"/>
          <w:szCs w:val="22"/>
          <w:u w:val="single"/>
        </w:rPr>
      </w:r>
    </w:p>
    <w:p w14:paraId="6ECCF51E" w14:textId="77777777">
      <w:pPr>
        <w:pStyle w:val="1073"/>
        <w:pBdr/>
        <w:spacing w:after="120" w:before="120" w:line="240" w:lineRule="auto"/>
        <w:ind w:left="708"/>
        <w:jc w:val="both"/>
        <w:rPr>
          <w:rFonts w:asciiTheme="minorHAnsi" w:hAnsiTheme="minorHAnsi" w:cstheme="minorHAnsi"/>
          <w:i/>
          <w:sz w:val="22"/>
          <w:szCs w:val="22"/>
        </w:rPr>
      </w:pPr>
      <w:r/>
      <w:bookmarkStart w:id="35" w:name="_Toc242880935"/>
      <w:r>
        <w:rPr>
          <w:rFonts w:asciiTheme="minorHAnsi" w:hAnsiTheme="minorHAnsi" w:cstheme="minorHAnsi"/>
          <w:i/>
          <w:sz w:val="22"/>
          <w:szCs w:val="22"/>
        </w:rPr>
        <w:t xml:space="preserve">Remise des plis sous format papier</w:t>
      </w:r>
      <w:bookmarkEnd w:id="35"/>
      <w:r>
        <w:rPr>
          <w:rFonts w:asciiTheme="minorHAnsi" w:hAnsiTheme="minorHAnsi" w:cstheme="minorHAnsi"/>
          <w:i/>
          <w:sz w:val="22"/>
          <w:szCs w:val="22"/>
        </w:rPr>
        <w:t xml:space="preserve"> </w:t>
      </w:r>
      <w:r>
        <w:rPr>
          <w:rFonts w:asciiTheme="minorHAnsi" w:hAnsiTheme="minorHAnsi" w:cstheme="minorHAnsi"/>
          <w:i/>
          <w:sz w:val="22"/>
          <w:szCs w:val="22"/>
        </w:rPr>
      </w:r>
    </w:p>
    <w:p w14:paraId="47E46F3E"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Les plis remis sous format papier sont rejetés.</w:t>
      </w:r>
      <w:r>
        <w:rPr>
          <w:rFonts w:asciiTheme="minorHAnsi" w:hAnsiTheme="minorHAnsi" w:cstheme="minorHAnsi"/>
          <w:sz w:val="22"/>
          <w:szCs w:val="22"/>
        </w:rPr>
      </w:r>
    </w:p>
    <w:p w14:paraId="218C745E" w14:textId="77777777">
      <w:pPr>
        <w:pBdr/>
        <w:spacing/>
        <w:ind/>
        <w:jc w:val="both"/>
        <w:rPr>
          <w:rFonts w:eastAsia="Times New Roman" w:asciiTheme="minorHAnsi" w:hAnsiTheme="minorHAnsi" w:cstheme="minorHAnsi"/>
          <w:sz w:val="22"/>
          <w:szCs w:val="22"/>
        </w:rPr>
      </w:pPr>
      <w:r>
        <w:rPr>
          <w:rFonts w:eastAsia="Times New Roman" w:asciiTheme="minorHAnsi" w:hAnsiTheme="minorHAnsi" w:cstheme="minorHAnsi"/>
          <w:sz w:val="22"/>
          <w:szCs w:val="22"/>
        </w:rPr>
      </w:r>
      <w:r>
        <w:rPr>
          <w:rFonts w:eastAsia="Times New Roman" w:asciiTheme="minorHAnsi" w:hAnsiTheme="minorHAnsi" w:cstheme="minorHAnsi"/>
          <w:sz w:val="22"/>
          <w:szCs w:val="22"/>
        </w:rPr>
      </w:r>
    </w:p>
    <w:p w14:paraId="245901A2" w14:textId="77777777">
      <w:pPr>
        <w:pStyle w:val="1073"/>
        <w:pBdr/>
        <w:spacing w:after="120" w:line="240" w:lineRule="auto"/>
        <w:ind w:left="708"/>
        <w:jc w:val="both"/>
        <w:rPr>
          <w:rFonts w:asciiTheme="minorHAnsi" w:hAnsiTheme="minorHAnsi" w:cstheme="minorHAnsi"/>
          <w:i/>
          <w:sz w:val="22"/>
          <w:szCs w:val="22"/>
        </w:rPr>
      </w:pPr>
      <w:r/>
      <w:bookmarkStart w:id="36" w:name="_Toc242880936"/>
      <w:r>
        <w:rPr>
          <w:rFonts w:asciiTheme="minorHAnsi" w:hAnsiTheme="minorHAnsi" w:cstheme="minorHAnsi"/>
          <w:i/>
          <w:sz w:val="22"/>
          <w:szCs w:val="22"/>
        </w:rPr>
        <w:t xml:space="preserve">Remise électronique</w:t>
      </w:r>
      <w:bookmarkEnd w:id="36"/>
      <w:r>
        <w:rPr>
          <w:rFonts w:asciiTheme="minorHAnsi" w:hAnsiTheme="minorHAnsi" w:cstheme="minorHAnsi"/>
          <w:i/>
          <w:sz w:val="22"/>
          <w:szCs w:val="22"/>
        </w:rPr>
        <w:t xml:space="preserve"> </w:t>
      </w:r>
      <w:r>
        <w:rPr>
          <w:rFonts w:asciiTheme="minorHAnsi" w:hAnsiTheme="minorHAnsi" w:cstheme="minorHAnsi"/>
          <w:i/>
          <w:sz w:val="22"/>
          <w:szCs w:val="22"/>
        </w:rPr>
      </w:r>
    </w:p>
    <w:p w14:paraId="05A06245" w14:textId="77777777">
      <w:pPr>
        <w:pBdr/>
        <w:spacing w:line="240" w:lineRule="auto"/>
        <w:ind/>
        <w:jc w:val="both"/>
        <w:rPr>
          <w:rFonts w:asciiTheme="minorHAnsi" w:hAnsiTheme="minorHAnsi" w:cstheme="minorHAnsi"/>
          <w:sz w:val="22"/>
          <w:szCs w:val="22"/>
        </w:rPr>
      </w:pPr>
      <w:r>
        <w:rPr>
          <w:rFonts w:asciiTheme="minorHAnsi" w:hAnsiTheme="minorHAnsi" w:cstheme="minorHAnsi"/>
          <w:sz w:val="22"/>
          <w:szCs w:val="22"/>
        </w:rPr>
        <w:t xml:space="preserve">Pour accéder à l’espace de consultation du marché ou pour déposer leur pli, </w:t>
      </w:r>
      <w:r>
        <w:rPr>
          <w:rFonts w:eastAsia="Times New Roman" w:asciiTheme="minorHAnsi" w:hAnsiTheme="minorHAnsi" w:cstheme="minorHAnsi"/>
          <w:sz w:val="22"/>
          <w:szCs w:val="22"/>
        </w:rPr>
        <w:t xml:space="preserve">les soumissionnaires doivent se connecter à la Plateforme des Achats de l’État à l’adresse suivante</w:t>
      </w:r>
      <w:r>
        <w:rPr>
          <w:rFonts w:asciiTheme="minorHAnsi" w:hAnsiTheme="minorHAnsi" w:cstheme="minorHAnsi"/>
          <w:sz w:val="22"/>
          <w:szCs w:val="22"/>
        </w:rPr>
        <w:t xml:space="preserve"> : </w:t>
      </w:r>
      <w:r>
        <w:rPr>
          <w:rFonts w:asciiTheme="minorHAnsi" w:hAnsiTheme="minorHAnsi" w:cstheme="minorHAnsi"/>
          <w:sz w:val="22"/>
          <w:szCs w:val="22"/>
        </w:rPr>
      </w:r>
    </w:p>
    <w:p w14:paraId="74E6B04E" w14:textId="77777777">
      <w:pPr>
        <w:pBdr/>
        <w:spacing w:line="240" w:lineRule="auto"/>
        <w:ind/>
        <w:jc w:val="both"/>
        <w:rPr>
          <w:rFonts w:asciiTheme="minorHAnsi" w:hAnsiTheme="minorHAnsi" w:cstheme="minorHAnsi"/>
          <w:sz w:val="22"/>
          <w:szCs w:val="22"/>
        </w:rPr>
      </w:pPr>
      <w:r/>
      <w:hyperlink w:history="1">
        <w:r>
          <w:rPr>
            <w:rStyle w:val="1260"/>
            <w:rFonts w:asciiTheme="minorHAnsi" w:hAnsiTheme="minorHAnsi" w:cstheme="minorHAnsi"/>
            <w:sz w:val="22"/>
            <w:szCs w:val="22"/>
          </w:rPr>
          <w:t xml:space="preserve">https://www.marches-publics.gouv.fr </w:t>
        </w:r>
      </w:hyperlink>
      <w:r/>
      <w:r>
        <w:rPr>
          <w:rFonts w:asciiTheme="minorHAnsi" w:hAnsiTheme="minorHAnsi" w:cstheme="minorHAnsi"/>
          <w:sz w:val="22"/>
          <w:szCs w:val="22"/>
        </w:rPr>
      </w:r>
    </w:p>
    <w:p w14:paraId="510685DD" w14:textId="77777777">
      <w:pPr>
        <w:pBdr/>
        <w:spacing w:before="120" w:line="240" w:lineRule="auto"/>
        <w:ind/>
        <w:jc w:val="both"/>
        <w:rPr>
          <w:rFonts w:eastAsia="Times New Roman" w:asciiTheme="minorHAnsi" w:hAnsiTheme="minorHAnsi" w:cstheme="minorHAnsi"/>
          <w:sz w:val="22"/>
          <w:szCs w:val="22"/>
        </w:rPr>
      </w:pPr>
      <w:r>
        <w:rPr>
          <w:rFonts w:eastAsia="Times New Roman" w:asciiTheme="minorHAnsi" w:hAnsiTheme="minorHAnsi" w:cstheme="minorHAnsi"/>
          <w:sz w:val="22"/>
          <w:szCs w:val="22"/>
        </w:rPr>
        <w:t xml:space="preserve">Toute remise par un autre moyen sera rejetée.</w:t>
      </w:r>
      <w:r>
        <w:rPr>
          <w:rFonts w:eastAsia="Times New Roman" w:asciiTheme="minorHAnsi" w:hAnsiTheme="minorHAnsi" w:cstheme="minorHAnsi"/>
          <w:sz w:val="22"/>
          <w:szCs w:val="22"/>
        </w:rPr>
      </w:r>
    </w:p>
    <w:p w14:paraId="024A4DEC" w14:textId="77777777">
      <w:pPr>
        <w:pBdr/>
        <w:spacing w:before="120" w:line="240" w:lineRule="auto"/>
        <w:ind/>
        <w:jc w:val="both"/>
        <w:rPr>
          <w:rStyle w:val="1260"/>
          <w:rFonts w:asciiTheme="minorHAnsi" w:hAnsiTheme="minorHAnsi" w:cstheme="minorHAnsi"/>
          <w:sz w:val="22"/>
          <w:szCs w:val="22"/>
        </w:rPr>
      </w:pPr>
      <w:r>
        <w:rPr>
          <w:rFonts w:asciiTheme="minorHAnsi" w:hAnsiTheme="minorHAnsi" w:cstheme="minorHAnsi"/>
          <w:sz w:val="22"/>
          <w:szCs w:val="22"/>
        </w:rPr>
        <w:t xml:space="preserve">La procédure de dépôt des plis est détaillée sur le site </w:t>
      </w:r>
      <w:hyperlink r:id="rId21" w:tooltip="http://www.marches-publics.gouv.fr" w:history="1">
        <w:r>
          <w:rPr>
            <w:rStyle w:val="1260"/>
            <w:rFonts w:asciiTheme="minorHAnsi" w:hAnsiTheme="minorHAnsi" w:cstheme="minorHAnsi"/>
            <w:sz w:val="22"/>
            <w:szCs w:val="22"/>
          </w:rPr>
          <w:t xml:space="preserve">www.marches-publics.gouv.fr</w:t>
        </w:r>
      </w:hyperlink>
      <w:r>
        <w:rPr>
          <w:rStyle w:val="1260"/>
          <w:rFonts w:asciiTheme="minorHAnsi" w:hAnsiTheme="minorHAnsi" w:cstheme="minorHAnsi"/>
          <w:sz w:val="22"/>
          <w:szCs w:val="22"/>
        </w:rPr>
        <w:t xml:space="preserve">. </w:t>
      </w:r>
      <w:r>
        <w:rPr>
          <w:rStyle w:val="1260"/>
          <w:rFonts w:asciiTheme="minorHAnsi" w:hAnsiTheme="minorHAnsi" w:cstheme="minorHAnsi"/>
          <w:sz w:val="22"/>
          <w:szCs w:val="22"/>
        </w:rPr>
      </w:r>
    </w:p>
    <w:p w14:paraId="779C1A04" w14:textId="77777777">
      <w:pPr>
        <w:pBdr/>
        <w:spacing w:before="120" w:line="240" w:lineRule="auto"/>
        <w:ind/>
        <w:jc w:val="both"/>
        <w:rPr>
          <w:rFonts w:asciiTheme="minorHAnsi" w:hAnsiTheme="minorHAnsi" w:cstheme="minorHAnsi"/>
          <w:sz w:val="22"/>
          <w:szCs w:val="22"/>
        </w:rPr>
      </w:pPr>
      <w:r>
        <w:rPr>
          <w:rStyle w:val="1260"/>
          <w:rFonts w:asciiTheme="minorHAnsi" w:hAnsiTheme="minorHAnsi" w:cstheme="minorHAnsi"/>
          <w:color w:val="auto"/>
          <w:sz w:val="22"/>
          <w:szCs w:val="22"/>
          <w:u w:val="none"/>
        </w:rPr>
        <w:t xml:space="preserve">Les soumissionnaires y trouveront notamment </w:t>
      </w:r>
      <w:r>
        <w:rPr>
          <w:rFonts w:asciiTheme="minorHAnsi" w:hAnsiTheme="minorHAnsi" w:cstheme="minorHAnsi"/>
          <w:sz w:val="22"/>
          <w:szCs w:val="22"/>
        </w:rPr>
        <w:t xml:space="preserve">un « guide utilisateur » téléchargeable qui précise les conditions d'utilisations de la plate-forme des achats de l'État, notamment les prérequis techniques et certificats électroniques.</w:t>
      </w:r>
      <w:r>
        <w:rPr>
          <w:rFonts w:asciiTheme="minorHAnsi" w:hAnsiTheme="minorHAnsi" w:cstheme="minorHAnsi"/>
          <w:sz w:val="22"/>
          <w:szCs w:val="22"/>
        </w:rPr>
      </w:r>
    </w:p>
    <w:p w14:paraId="3A9F1001" w14:textId="77777777">
      <w:pPr>
        <w:pBdr/>
        <w:spacing w:before="120" w:line="240" w:lineRule="auto"/>
        <w:ind/>
        <w:jc w:val="both"/>
        <w:rPr>
          <w:rStyle w:val="1260"/>
          <w:rFonts w:asciiTheme="minorHAnsi" w:hAnsiTheme="minorHAnsi" w:cstheme="minorHAnsi"/>
          <w:color w:val="auto"/>
          <w:sz w:val="22"/>
          <w:szCs w:val="22"/>
          <w:u w:val="none"/>
        </w:rPr>
      </w:pPr>
      <w:r>
        <w:rPr>
          <w:rFonts w:asciiTheme="minorHAnsi" w:hAnsiTheme="minorHAnsi" w:cstheme="minorHAnsi"/>
          <w:sz w:val="22"/>
          <w:szCs w:val="22"/>
        </w:rPr>
        <w:t xml:space="preserve">S'ils le souhaitent, les candidats pourront prendre contact avec le 09 72 37 01 30 tous les jours ouvrés de 9h00 à 19h00 pour bénéficier d'une assistance technique de PLACE dans l'accomplissement de ces opérations.</w:t>
      </w:r>
      <w:r>
        <w:rPr>
          <w:rStyle w:val="1260"/>
          <w:rFonts w:asciiTheme="minorHAnsi" w:hAnsiTheme="minorHAnsi" w:cstheme="minorHAnsi"/>
          <w:color w:val="auto"/>
          <w:sz w:val="22"/>
          <w:szCs w:val="22"/>
          <w:u w:val="none"/>
        </w:rPr>
      </w:r>
    </w:p>
    <w:p w14:paraId="0335CD36"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En cas d'allotissemen</w:t>
      </w:r>
      <w:r>
        <w:rPr>
          <w:rFonts w:asciiTheme="minorHAnsi" w:hAnsiTheme="minorHAnsi" w:cstheme="minorHAnsi"/>
          <w:sz w:val="22"/>
          <w:szCs w:val="22"/>
        </w:rPr>
        <w:t xml:space="preserve">t, chaque lot doit obligatoirement faire l'objet d'un dépôt électronique. Il est toutefois possible de faire un dépôt électronique unique pour plusieurs lots à condition que l'identification des lots auxquels il est répondu soit possible et sans ambiguïté.</w:t>
      </w:r>
      <w:r>
        <w:rPr>
          <w:rFonts w:asciiTheme="minorHAnsi" w:hAnsiTheme="minorHAnsi" w:cstheme="minorHAnsi"/>
          <w:sz w:val="22"/>
          <w:szCs w:val="22"/>
        </w:rPr>
      </w:r>
    </w:p>
    <w:p w14:paraId="420E31BC"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frais d'accès au réseau et de recours à la signature électronique sont à la charge de chaque candidat.</w:t>
      </w:r>
      <w:r>
        <w:rPr>
          <w:rFonts w:asciiTheme="minorHAnsi" w:hAnsiTheme="minorHAnsi" w:cstheme="minorHAnsi"/>
          <w:sz w:val="22"/>
          <w:szCs w:val="22"/>
        </w:rPr>
      </w:r>
    </w:p>
    <w:p w14:paraId="3596DE14" w14:textId="77777777">
      <w:pPr>
        <w:pBdr/>
        <w:spacing w:before="120" w:line="240" w:lineRule="auto"/>
        <w:ind/>
        <w:jc w:val="both"/>
        <w:rPr>
          <w:rFonts w:asciiTheme="minorHAnsi" w:hAnsiTheme="minorHAnsi" w:cstheme="minorHAnsi"/>
          <w:sz w:val="22"/>
          <w:szCs w:val="22"/>
          <w:u w:val="single"/>
        </w:rPr>
      </w:pPr>
      <w:r>
        <w:rPr>
          <w:rFonts w:asciiTheme="minorHAnsi" w:hAnsiTheme="minorHAnsi" w:cstheme="minorHAnsi"/>
          <w:sz w:val="22"/>
          <w:szCs w:val="22"/>
        </w:rPr>
        <w:t xml:space="preserve">Les soumissionnaires sont invités à tester la configuration de leur poste de travail et répondre à une consultation test, afin de s'assurer du bon fonctionnement de l'environnement informatique.</w:t>
      </w:r>
      <w:r>
        <w:rPr>
          <w:rFonts w:asciiTheme="minorHAnsi" w:hAnsiTheme="minorHAnsi" w:cstheme="minorHAnsi"/>
          <w:sz w:val="22"/>
          <w:szCs w:val="22"/>
          <w:u w:val="single"/>
        </w:rPr>
      </w:r>
    </w:p>
    <w:p w14:paraId="77D27B81"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L'attention des soumissionnaires est attirée sur le fait qu'ils devront au moins disposer d'un logiciel de navigation sur Internet. La disposition d'un outil de signature électronique n’est pas obligatoire.</w:t>
      </w:r>
      <w:r>
        <w:rPr>
          <w:rFonts w:asciiTheme="minorHAnsi" w:hAnsiTheme="minorHAnsi" w:cstheme="minorHAnsi"/>
          <w:sz w:val="22"/>
          <w:szCs w:val="22"/>
        </w:rPr>
      </w:r>
    </w:p>
    <w:p w14:paraId="60D906B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Pour constituer son offre, le soumissionnaire de</w:t>
      </w:r>
      <w:r>
        <w:rPr>
          <w:rFonts w:asciiTheme="minorHAnsi" w:hAnsiTheme="minorHAnsi" w:cstheme="minorHAnsi"/>
          <w:sz w:val="22"/>
          <w:szCs w:val="22"/>
        </w:rPr>
        <w:t xml:space="preserve">vra transmettre des fichiers établis dans les formats informatiques suivants : fichiers PDF, RTF, ZIP, suite Microsoft Office, LibreOffice ou Open Office. Tout fichier informatique établi dans un format informatique différent sera déclaré nul et non avenu.</w:t>
      </w:r>
      <w:r>
        <w:rPr>
          <w:rFonts w:asciiTheme="minorHAnsi" w:hAnsiTheme="minorHAnsi" w:cstheme="minorHAnsi"/>
          <w:sz w:val="22"/>
          <w:szCs w:val="22"/>
        </w:rPr>
      </w:r>
    </w:p>
    <w:p w14:paraId="00E26D7A" w14:textId="77777777">
      <w:pPr>
        <w:pBdr/>
        <w:spacing w:before="240" w:line="240" w:lineRule="auto"/>
        <w:ind/>
        <w:jc w:val="both"/>
        <w:rPr>
          <w:rFonts w:asciiTheme="minorHAnsi" w:hAnsiTheme="minorHAnsi" w:cstheme="minorHAnsi"/>
          <w:b/>
          <w:sz w:val="22"/>
          <w:szCs w:val="22"/>
        </w:rPr>
      </w:pPr>
      <w:r>
        <w:rPr>
          <w:rFonts w:asciiTheme="minorHAnsi" w:hAnsiTheme="minorHAnsi" w:cstheme="minorHAnsi"/>
          <w:b/>
          <w:sz w:val="22"/>
          <w:szCs w:val="22"/>
        </w:rPr>
        <w:t xml:space="preserve">ATTENTION !</w:t>
      </w:r>
      <w:r>
        <w:rPr>
          <w:rFonts w:asciiTheme="minorHAnsi" w:hAnsiTheme="minorHAnsi" w:cstheme="minorHAnsi"/>
          <w:b/>
          <w:sz w:val="22"/>
          <w:szCs w:val="22"/>
        </w:rPr>
      </w:r>
    </w:p>
    <w:p w14:paraId="098E8524"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Tout fichier constitutif de l’offre devra être ex</w:t>
      </w:r>
      <w:r>
        <w:rPr>
          <w:rFonts w:asciiTheme="minorHAnsi" w:hAnsiTheme="minorHAnsi" w:cstheme="minorHAnsi"/>
          <w:sz w:val="22"/>
          <w:szCs w:val="22"/>
        </w:rPr>
        <w:t xml:space="preserve">empt d'un quelconque virus informatique et devra être préalablement traité, à cette fin, par le soumissionnaire par un anti-virus régulièrement mis à jour. Il en est de même pour tout autre fichier échangé dans le cadre de cette procédure de marché public.</w:t>
      </w:r>
      <w:r>
        <w:rPr>
          <w:rFonts w:asciiTheme="minorHAnsi" w:hAnsiTheme="minorHAnsi" w:cstheme="minorHAnsi"/>
          <w:sz w:val="22"/>
          <w:szCs w:val="22"/>
        </w:rPr>
      </w:r>
    </w:p>
    <w:p w14:paraId="3B9662D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 pouvoir adjudicateur pourra procéder à un archivage de sécurité de tout fichier contenant un virus informatique. Dès lors, celui-ci sera réputé n'avoir jamais été reçu.</w:t>
      </w:r>
      <w:r>
        <w:rPr>
          <w:rFonts w:asciiTheme="minorHAnsi" w:hAnsiTheme="minorHAnsi" w:cstheme="minorHAnsi"/>
          <w:sz w:val="22"/>
          <w:szCs w:val="22"/>
        </w:rPr>
      </w:r>
    </w:p>
    <w:p w14:paraId="13599567"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NB : L’attention des soumissionnaire</w:t>
      </w:r>
      <w:r>
        <w:rPr>
          <w:rFonts w:asciiTheme="minorHAnsi" w:hAnsiTheme="minorHAnsi" w:cstheme="minorHAnsi"/>
          <w:sz w:val="22"/>
          <w:szCs w:val="22"/>
        </w:rPr>
        <w:t xml:space="preserve">s est attirée sur la durée d’acheminement des plis électroniques volumineux. Le délai moyen de téléchargement peut varier en fonction de paramètres divers comme la capacité technique du matériel, le type de raccordement à internet, le trafic sur le réseau…</w:t>
      </w:r>
      <w:r>
        <w:rPr>
          <w:rFonts w:asciiTheme="minorHAnsi" w:hAnsiTheme="minorHAnsi" w:cstheme="minorHAnsi"/>
          <w:sz w:val="22"/>
          <w:szCs w:val="22"/>
        </w:rPr>
      </w:r>
    </w:p>
    <w:p w14:paraId="6EC54551"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Dans la mesure où la date et l’heure de fin d’acheminement font foi lors de la remise d’une réponse dématérialisée, les soumissionnaires sont invités à intégrer des marges de manœuvre dans leur processus de réponse par voie dématérialisée.</w:t>
      </w:r>
      <w:r>
        <w:rPr>
          <w:rFonts w:asciiTheme="minorHAnsi" w:hAnsiTheme="minorHAnsi" w:cstheme="minorHAnsi"/>
          <w:sz w:val="22"/>
          <w:szCs w:val="22"/>
        </w:rPr>
      </w:r>
    </w:p>
    <w:p w14:paraId="21011769"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Même si son offre à la présente procédure de marché public a fait l'objet d'une transmission électronique, le soumissionnaire s'engage, notamment dans </w:t>
      </w:r>
      <w:r>
        <w:rPr>
          <w:rFonts w:asciiTheme="minorHAnsi" w:hAnsiTheme="minorHAnsi" w:cstheme="minorHAnsi"/>
          <w:sz w:val="22"/>
          <w:szCs w:val="22"/>
        </w:rPr>
        <w:t xml:space="preserve">le cas où son offre est retenue, à accepter la re-matérialisation conforme sous forme papier de tous les documents constitutifs à valeur contractuelle. A ce titre, il s'engage également à ce que la personne physique auteur de leur signature électronique pr</w:t>
      </w:r>
      <w:r>
        <w:rPr>
          <w:rFonts w:asciiTheme="minorHAnsi" w:hAnsiTheme="minorHAnsi" w:cstheme="minorHAnsi"/>
          <w:sz w:val="22"/>
          <w:szCs w:val="22"/>
        </w:rPr>
        <w:t xml:space="preserve">ocède à leur signature manuscrite sans procéder à la moindre modification de ceux-ci et les renvoie aux pouvoirs adjudicateurs sous cette forme. Il s'engage enfin à en accepter la notification, selon les procédés habituellement en cours, sous forme papier.</w:t>
      </w:r>
      <w:r>
        <w:rPr>
          <w:rFonts w:asciiTheme="minorHAnsi" w:hAnsiTheme="minorHAnsi" w:cstheme="minorHAnsi"/>
          <w:sz w:val="22"/>
          <w:szCs w:val="22"/>
        </w:rPr>
      </w:r>
    </w:p>
    <w:p w14:paraId="41EBC8AC"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rPr>
          <w:rFonts w:asciiTheme="minorHAnsi" w:hAnsiTheme="minorHAnsi" w:cstheme="minorHAnsi"/>
          <w:b/>
          <w:caps/>
          <w:sz w:val="28"/>
          <w:szCs w:val="22"/>
          <w:u w:val="single"/>
        </w:rPr>
        <w:t xml:space="preserve"> </w:t>
      </w:r>
      <w:bookmarkStart w:id="37" w:name="_Toc242880937"/>
      <w:r>
        <w:rPr>
          <w:rFonts w:asciiTheme="minorHAnsi" w:hAnsiTheme="minorHAnsi" w:cstheme="minorHAnsi"/>
          <w:b/>
          <w:caps/>
          <w:sz w:val="28"/>
          <w:szCs w:val="22"/>
          <w:u w:val="single"/>
        </w:rPr>
        <w:t xml:space="preserve">Analyse des candidatures</w:t>
      </w:r>
      <w:bookmarkEnd w:id="37"/>
      <w:r/>
      <w:r>
        <w:rPr>
          <w:rFonts w:asciiTheme="minorHAnsi" w:hAnsiTheme="minorHAnsi" w:cstheme="minorHAnsi"/>
          <w:b/>
          <w:caps/>
          <w:sz w:val="28"/>
          <w:szCs w:val="22"/>
          <w:u w:val="single"/>
        </w:rPr>
      </w:r>
    </w:p>
    <w:p w14:paraId="0D7E4ACD"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sélection des candidatures est assurée par le Comité d’évaluation d’Expertise France et se déroule selon les modalités suivantes.</w:t>
      </w:r>
      <w:r>
        <w:rPr>
          <w:rFonts w:asciiTheme="minorHAnsi" w:hAnsiTheme="minorHAnsi" w:cstheme="minorHAnsi"/>
          <w:color w:val="000000"/>
          <w:sz w:val="22"/>
          <w:szCs w:val="22"/>
        </w:rPr>
      </w:r>
    </w:p>
    <w:p w14:paraId="4108458F" w14:textId="0760E57A">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application des dispositions de l'article R.2161-4 du code de la commande publique, le Comité d’évaluation</w:t>
      </w:r>
      <w:r>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peut décider d'examiner les offres avant les candidatures.</w:t>
      </w:r>
      <w:r>
        <w:rPr>
          <w:rFonts w:asciiTheme="minorHAnsi" w:hAnsiTheme="minorHAnsi" w:cstheme="minorHAnsi"/>
          <w:color w:val="000000"/>
          <w:sz w:val="22"/>
          <w:szCs w:val="22"/>
        </w:rPr>
      </w:r>
    </w:p>
    <w:p w14:paraId="7561436E"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Dans ce </w:t>
      </w:r>
      <w:r>
        <w:rPr>
          <w:rFonts w:asciiTheme="minorHAnsi" w:hAnsiTheme="minorHAnsi" w:cstheme="minorHAnsi"/>
          <w:color w:val="000000"/>
          <w:sz w:val="22"/>
          <w:szCs w:val="22"/>
        </w:rPr>
        <w:t xml:space="preserve">cas, les documents justificatifs concernant l'aptitude et les capacités ainsi que les moyens de preuve relatifs aux motifs d'exclusion ne sont demandés par l’autorité contractante qu'au(x) soumissionnaire(s) auquel(s) il est envisagé d'attribuer le marché.</w:t>
      </w:r>
      <w:r>
        <w:rPr>
          <w:rFonts w:asciiTheme="minorHAnsi" w:hAnsiTheme="minorHAnsi" w:cstheme="minorHAnsi"/>
          <w:color w:val="000000"/>
          <w:sz w:val="22"/>
          <w:szCs w:val="22"/>
        </w:rPr>
      </w:r>
    </w:p>
    <w:p w14:paraId="2F64D3EA"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4A2282B6" w14:textId="77777777">
      <w:pPr>
        <w:pStyle w:val="1073"/>
        <w:pBdr/>
        <w:spacing w:after="120" w:before="120" w:line="240" w:lineRule="auto"/>
        <w:ind/>
        <w:jc w:val="both"/>
        <w:rPr>
          <w:rFonts w:asciiTheme="minorHAnsi" w:hAnsiTheme="minorHAnsi" w:cstheme="minorHAnsi"/>
          <w:sz w:val="22"/>
          <w:szCs w:val="22"/>
          <w:u w:val="single"/>
        </w:rPr>
      </w:pPr>
      <w:r/>
      <w:bookmarkStart w:id="38" w:name="_Toc242880938"/>
      <w:r>
        <w:rPr>
          <w:rFonts w:asciiTheme="minorHAnsi" w:hAnsiTheme="minorHAnsi" w:cstheme="minorHAnsi"/>
          <w:sz w:val="22"/>
          <w:szCs w:val="22"/>
          <w:u w:val="single"/>
        </w:rPr>
        <w:t xml:space="preserve">Demande de compléments de candidature</w:t>
      </w:r>
      <w:bookmarkEnd w:id="38"/>
      <w:r/>
      <w:r>
        <w:rPr>
          <w:rFonts w:asciiTheme="minorHAnsi" w:hAnsiTheme="minorHAnsi" w:cstheme="minorHAnsi"/>
          <w:sz w:val="22"/>
          <w:szCs w:val="22"/>
          <w:u w:val="single"/>
        </w:rPr>
      </w:r>
    </w:p>
    <w:p w14:paraId="28FD5DA1"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Si l’autorité contractante constate, avant de procéder à l'examen des candidatures, que des pièce</w:t>
      </w:r>
      <w:r>
        <w:rPr>
          <w:rFonts w:asciiTheme="minorHAnsi" w:hAnsiTheme="minorHAnsi" w:cstheme="minorHAnsi"/>
          <w:color w:val="000000"/>
          <w:sz w:val="22"/>
          <w:szCs w:val="22"/>
        </w:rPr>
        <w:t xml:space="preserve">s ou des informations dont la production était réclamée sont absentes ou incomplètes, elle peut demander aux candidats concernés de compléter leur dossier de candidature dans un délai identique pour tous. Ce délai est précisé avec la demande de complément.</w:t>
      </w:r>
      <w:r>
        <w:rPr>
          <w:rFonts w:asciiTheme="minorHAnsi" w:hAnsiTheme="minorHAnsi" w:cstheme="minorHAnsi"/>
          <w:color w:val="000000"/>
          <w:sz w:val="22"/>
          <w:szCs w:val="22"/>
        </w:rPr>
      </w:r>
    </w:p>
    <w:p w14:paraId="1AFDB757"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candidatures incomplètes ou demeurées incomplètes à la suite d'une demande de compléments sont éliminées.</w:t>
      </w:r>
      <w:r>
        <w:rPr>
          <w:rFonts w:asciiTheme="minorHAnsi" w:hAnsiTheme="minorHAnsi" w:cstheme="minorHAnsi"/>
          <w:color w:val="000000"/>
          <w:sz w:val="22"/>
          <w:szCs w:val="22"/>
        </w:rPr>
      </w:r>
    </w:p>
    <w:p w14:paraId="126F53E2" w14:textId="77777777">
      <w:pPr>
        <w:pStyle w:val="1073"/>
        <w:pBdr/>
        <w:spacing w:after="120" w:before="120" w:line="240" w:lineRule="auto"/>
        <w:ind/>
        <w:jc w:val="both"/>
        <w:rPr>
          <w:rFonts w:asciiTheme="minorHAnsi" w:hAnsiTheme="minorHAnsi" w:cstheme="minorHAnsi"/>
          <w:sz w:val="22"/>
          <w:szCs w:val="22"/>
          <w:u w:val="single"/>
        </w:rPr>
      </w:pPr>
      <w:r/>
      <w:bookmarkStart w:id="39" w:name="_Toc242880939"/>
      <w:r>
        <w:rPr>
          <w:rFonts w:asciiTheme="minorHAnsi" w:hAnsiTheme="minorHAnsi" w:cstheme="minorHAnsi"/>
          <w:sz w:val="22"/>
          <w:szCs w:val="22"/>
          <w:u w:val="single"/>
        </w:rPr>
        <w:t xml:space="preserve">Rejet des candidatures hors délais - Ouverture des plis</w:t>
      </w:r>
      <w:bookmarkEnd w:id="39"/>
      <w:r/>
      <w:r>
        <w:rPr>
          <w:rFonts w:asciiTheme="minorHAnsi" w:hAnsiTheme="minorHAnsi" w:cstheme="minorHAnsi"/>
          <w:sz w:val="22"/>
          <w:szCs w:val="22"/>
          <w:u w:val="single"/>
        </w:rPr>
      </w:r>
    </w:p>
    <w:p w14:paraId="53F1BF52" w14:textId="77777777">
      <w:pPr>
        <w:pBdr/>
        <w:spacing w:before="120"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candidats et la composition des plis déposés. </w:t>
      </w:r>
      <w:r>
        <w:rPr>
          <w:rFonts w:asciiTheme="minorHAnsi" w:hAnsiTheme="minorHAnsi" w:cstheme="minorHAnsi"/>
          <w:color w:val="000000"/>
          <w:sz w:val="22"/>
          <w:szCs w:val="22"/>
        </w:rPr>
      </w:r>
    </w:p>
    <w:p w14:paraId="7C458BCB"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plis reçus hors délais sont immédiatement écartés.</w:t>
      </w:r>
      <w:r>
        <w:rPr>
          <w:rFonts w:asciiTheme="minorHAnsi" w:hAnsiTheme="minorHAnsi" w:cstheme="minorHAnsi"/>
          <w:color w:val="000000"/>
          <w:sz w:val="22"/>
          <w:szCs w:val="22"/>
        </w:rPr>
      </w:r>
    </w:p>
    <w:p w14:paraId="1310F73D" w14:textId="77777777">
      <w:pPr>
        <w:pStyle w:val="1073"/>
        <w:pBdr/>
        <w:spacing w:after="120" w:before="120" w:line="240" w:lineRule="auto"/>
        <w:ind/>
        <w:jc w:val="both"/>
        <w:rPr>
          <w:rFonts w:asciiTheme="minorHAnsi" w:hAnsiTheme="minorHAnsi" w:cstheme="minorHAnsi"/>
          <w:sz w:val="22"/>
          <w:szCs w:val="22"/>
          <w:u w:val="single"/>
        </w:rPr>
      </w:pPr>
      <w:r/>
      <w:bookmarkStart w:id="40" w:name="_Toc242880940"/>
      <w:r>
        <w:rPr>
          <w:rFonts w:asciiTheme="minorHAnsi" w:hAnsiTheme="minorHAnsi" w:cstheme="minorHAnsi"/>
          <w:sz w:val="22"/>
          <w:szCs w:val="22"/>
          <w:u w:val="single"/>
        </w:rPr>
        <w:t xml:space="preserve">Recevabilité des candidatures</w:t>
      </w:r>
      <w:bookmarkEnd w:id="40"/>
      <w:r/>
      <w:r>
        <w:rPr>
          <w:rFonts w:asciiTheme="minorHAnsi" w:hAnsiTheme="minorHAnsi" w:cstheme="minorHAnsi"/>
          <w:sz w:val="22"/>
          <w:szCs w:val="22"/>
          <w:u w:val="single"/>
        </w:rPr>
      </w:r>
    </w:p>
    <w:p w14:paraId="0CE9A8D1"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participations, Le Comité d’évaluation d’Expertise France procède à l'analyse des de la recevabilité des candidatures sur la base des critères de recevabilité suivants :</w:t>
      </w:r>
      <w:r>
        <w:rPr>
          <w:rFonts w:asciiTheme="minorHAnsi" w:hAnsiTheme="minorHAnsi" w:cstheme="minorHAnsi"/>
          <w:color w:val="000000"/>
          <w:sz w:val="22"/>
          <w:szCs w:val="22"/>
        </w:rPr>
      </w:r>
    </w:p>
    <w:p w14:paraId="7AFE229A"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Enregistrement du candidat au registre du commerce</w:t>
      </w:r>
      <w:r>
        <w:rPr>
          <w:rFonts w:asciiTheme="minorHAnsi" w:hAnsiTheme="minorHAnsi" w:cstheme="minorHAnsi"/>
          <w:color w:val="000000"/>
          <w:sz w:val="22"/>
          <w:szCs w:val="22"/>
        </w:rPr>
      </w:r>
    </w:p>
    <w:p w14:paraId="0282757F"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Satisfaction aux obligations sociales du candidat</w:t>
      </w:r>
      <w:r>
        <w:rPr>
          <w:rFonts w:asciiTheme="minorHAnsi" w:hAnsiTheme="minorHAnsi" w:cstheme="minorHAnsi"/>
          <w:color w:val="000000"/>
          <w:sz w:val="22"/>
          <w:szCs w:val="22"/>
        </w:rPr>
      </w:r>
    </w:p>
    <w:p w14:paraId="61E22CE0"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Satisfaction aux obligations fiscales du candidat</w:t>
      </w:r>
      <w:r>
        <w:rPr>
          <w:rFonts w:asciiTheme="minorHAnsi" w:hAnsiTheme="minorHAnsi" w:cstheme="minorHAnsi"/>
          <w:color w:val="000000"/>
          <w:sz w:val="22"/>
          <w:szCs w:val="22"/>
        </w:rPr>
      </w:r>
    </w:p>
    <w:p w14:paraId="3CE07FDE" w14:textId="77777777">
      <w:pPr>
        <w:pStyle w:val="1291"/>
        <w:numPr>
          <w:ilvl w:val="0"/>
          <w:numId w:val="32"/>
        </w:numPr>
        <w:pBdr/>
        <w:spacing/>
        <w:ind/>
        <w:jc w:val="both"/>
        <w:rPr>
          <w:rFonts w:asciiTheme="minorHAnsi" w:hAnsiTheme="minorHAnsi" w:cstheme="minorHAnsi"/>
          <w:bCs/>
          <w:iCs/>
          <w:sz w:val="22"/>
          <w:szCs w:val="22"/>
        </w:rPr>
      </w:pPr>
      <w:r>
        <w:rPr>
          <w:rFonts w:asciiTheme="minorHAnsi" w:hAnsiTheme="minorHAnsi" w:cstheme="minorHAnsi"/>
          <w:color w:val="000000"/>
          <w:sz w:val="22"/>
          <w:szCs w:val="22"/>
        </w:rPr>
        <w:t xml:space="preserve">Le candidat ne doit pas se trouver dans une situation mentionnée des articles L. 2141-1 à L 2141-6 et L. 2141-7 à L. 2141-11 du Code de la commande publique et ne figurent pas </w:t>
      </w:r>
      <w:r>
        <w:rPr>
          <w:rFonts w:asciiTheme="minorHAnsi" w:hAnsiTheme="minorHAnsi" w:cstheme="minorHAnsi"/>
          <w:bCs/>
          <w:iCs/>
          <w:sz w:val="22"/>
          <w:szCs w:val="22"/>
        </w:rPr>
        <w:t xml:space="preserve">sur une liste d’exclusion officielle que leur situation soit révélée par leurs propres déclarations ou par la mise en œuvre des mesures de vigilance par l’autorité contractante</w:t>
      </w:r>
      <w:r>
        <w:rPr>
          <w:rFonts w:asciiTheme="minorHAnsi" w:hAnsiTheme="minorHAnsi" w:cstheme="minorHAnsi"/>
          <w:bCs/>
          <w:iCs/>
          <w:sz w:val="22"/>
          <w:szCs w:val="22"/>
        </w:rPr>
      </w:r>
    </w:p>
    <w:p w14:paraId="0B96471C"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candidat ou son représentant ne doit pas se trouver dans une situation de conflit d’intérêt vis-à-vis de l’autorité adjudicatrice et/ou des bénéficiaires du contrat d’achat</w:t>
      </w:r>
      <w:r>
        <w:rPr>
          <w:rFonts w:asciiTheme="minorHAnsi" w:hAnsiTheme="minorHAnsi" w:cstheme="minorHAnsi"/>
          <w:color w:val="000000"/>
          <w:sz w:val="22"/>
          <w:szCs w:val="22"/>
        </w:rPr>
      </w:r>
    </w:p>
    <w:p w14:paraId="1F32C063"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candidat doit justifier d’une mise en œuvre suffisante des mesures techniques et organisationnelles appropriées, de sorte que le traitement des</w:t>
      </w:r>
      <w:r>
        <w:rPr>
          <w:rFonts w:asciiTheme="minorHAnsi" w:hAnsiTheme="minorHAnsi" w:cstheme="minorHAnsi"/>
          <w:color w:val="000000"/>
          <w:sz w:val="22"/>
          <w:szCs w:val="22"/>
        </w:rPr>
        <w:t xml:space="preserve"> données à caractère personnel qu’il opère soit conforme aux obligations réglementaires et légales en matière de protection des données (RGPD et loi Informatique et Libertés) et garantisse bien à cet égard la protection des droits de la personne concernée </w:t>
      </w:r>
      <w:r>
        <w:rPr>
          <w:rFonts w:asciiTheme="minorHAnsi" w:hAnsiTheme="minorHAnsi" w:cstheme="minorHAnsi"/>
          <w:color w:val="000000"/>
          <w:sz w:val="22"/>
          <w:szCs w:val="22"/>
        </w:rPr>
      </w:r>
    </w:p>
    <w:p w14:paraId="790B46D1" w14:textId="77777777">
      <w:pPr>
        <w:pStyle w:val="1291"/>
        <w:numPr>
          <w:ilvl w:val="0"/>
          <w:numId w:val="32"/>
        </w:num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candidatures qui ne justifient pas de l'aptitude professionnelle et/ou qui ne satisfont pas les niveaux minimaux de capacité sont éliminées.</w:t>
      </w:r>
      <w:r>
        <w:rPr>
          <w:rFonts w:asciiTheme="minorHAnsi" w:hAnsiTheme="minorHAnsi" w:cstheme="minorHAnsi"/>
          <w:color w:val="000000"/>
          <w:sz w:val="22"/>
          <w:szCs w:val="22"/>
        </w:rPr>
      </w:r>
    </w:p>
    <w:p w14:paraId="40A8AA40" w14:textId="77777777">
      <w:pPr>
        <w:pBdr/>
        <w:spacing/>
        <w:ind/>
        <w:rPr/>
      </w:pPr>
      <w:r/>
      <w:r/>
    </w:p>
    <w:p w14:paraId="21982980"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41" w:name="_Toc242880941"/>
      <w:r>
        <w:rPr>
          <w:rFonts w:asciiTheme="minorHAnsi" w:hAnsiTheme="minorHAnsi" w:cstheme="minorHAnsi"/>
          <w:b/>
          <w:caps/>
          <w:sz w:val="28"/>
          <w:szCs w:val="22"/>
          <w:u w:val="single"/>
        </w:rPr>
        <w:t xml:space="preserve">Evaluation des offres, négociation et attribution</w:t>
      </w:r>
      <w:bookmarkEnd w:id="41"/>
      <w:r/>
      <w:r>
        <w:rPr>
          <w:rFonts w:asciiTheme="minorHAnsi" w:hAnsiTheme="minorHAnsi" w:cstheme="minorHAnsi"/>
          <w:b/>
          <w:caps/>
          <w:sz w:val="28"/>
          <w:szCs w:val="22"/>
          <w:u w:val="single"/>
        </w:rPr>
      </w:r>
    </w:p>
    <w:p w14:paraId="657CDB94"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procédure de sélection des offres est assurée par le Comité d’évaluation d’Expertise France et se déroule selon les modalités suivantes :</w:t>
      </w:r>
      <w:r>
        <w:rPr>
          <w:rFonts w:asciiTheme="minorHAnsi" w:hAnsiTheme="minorHAnsi" w:cstheme="minorHAnsi"/>
          <w:color w:val="000000"/>
          <w:sz w:val="22"/>
          <w:szCs w:val="22"/>
        </w:rPr>
      </w:r>
    </w:p>
    <w:p w14:paraId="0200B2EF" w14:textId="77777777">
      <w:pPr>
        <w:pStyle w:val="1073"/>
        <w:pBdr/>
        <w:spacing w:after="120" w:before="120" w:line="240" w:lineRule="auto"/>
        <w:ind/>
        <w:jc w:val="both"/>
        <w:rPr>
          <w:rFonts w:asciiTheme="minorHAnsi" w:hAnsiTheme="minorHAnsi" w:cstheme="minorHAnsi"/>
          <w:sz w:val="22"/>
          <w:szCs w:val="22"/>
          <w:u w:val="single"/>
        </w:rPr>
      </w:pPr>
      <w:r/>
      <w:bookmarkStart w:id="42" w:name="_Toc242880942"/>
      <w:r>
        <w:rPr>
          <w:rFonts w:asciiTheme="minorHAnsi" w:hAnsiTheme="minorHAnsi" w:cstheme="minorHAnsi"/>
          <w:sz w:val="22"/>
          <w:szCs w:val="22"/>
          <w:u w:val="single"/>
        </w:rPr>
        <w:t xml:space="preserve">Rejet des offres hors délais - Ouverture des offres</w:t>
      </w:r>
      <w:bookmarkEnd w:id="42"/>
      <w:r/>
      <w:r>
        <w:rPr>
          <w:rFonts w:asciiTheme="minorHAnsi" w:hAnsiTheme="minorHAnsi" w:cstheme="minorHAnsi"/>
          <w:sz w:val="22"/>
          <w:szCs w:val="22"/>
          <w:u w:val="single"/>
        </w:rPr>
      </w:r>
    </w:p>
    <w:p w14:paraId="6FDD1918"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d’ouverture des plis (séance non publique) recense les plis reçus et l’identité des soumissionnaires et la composition des plis déposés. </w:t>
      </w:r>
      <w:r>
        <w:rPr>
          <w:rFonts w:asciiTheme="minorHAnsi" w:hAnsiTheme="minorHAnsi" w:cstheme="minorHAnsi"/>
          <w:color w:val="000000"/>
          <w:sz w:val="22"/>
          <w:szCs w:val="22"/>
        </w:rPr>
      </w:r>
    </w:p>
    <w:p w14:paraId="10189640"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plis reçus hors délais sont immédiatement écartés.</w:t>
      </w:r>
      <w:r>
        <w:rPr>
          <w:rFonts w:asciiTheme="minorHAnsi" w:hAnsiTheme="minorHAnsi" w:cstheme="minorHAnsi"/>
          <w:color w:val="000000"/>
          <w:sz w:val="22"/>
          <w:szCs w:val="22"/>
        </w:rPr>
      </w:r>
    </w:p>
    <w:p w14:paraId="1A48C847" w14:textId="77777777">
      <w:pPr>
        <w:pStyle w:val="1073"/>
        <w:pBdr/>
        <w:spacing w:after="120" w:before="120" w:line="240" w:lineRule="auto"/>
        <w:ind/>
        <w:jc w:val="both"/>
        <w:rPr>
          <w:rFonts w:asciiTheme="minorHAnsi" w:hAnsiTheme="minorHAnsi" w:cstheme="minorHAnsi"/>
          <w:sz w:val="22"/>
          <w:szCs w:val="22"/>
          <w:u w:val="single"/>
        </w:rPr>
      </w:pPr>
      <w:r/>
      <w:bookmarkStart w:id="43" w:name="_Toc242880943"/>
      <w:r>
        <w:rPr>
          <w:rFonts w:asciiTheme="minorHAnsi" w:hAnsiTheme="minorHAnsi" w:cstheme="minorHAnsi"/>
          <w:sz w:val="22"/>
          <w:szCs w:val="22"/>
          <w:u w:val="single"/>
        </w:rPr>
        <w:t xml:space="preserve">Analyse des offres</w:t>
      </w:r>
      <w:bookmarkEnd w:id="43"/>
      <w:r/>
      <w:r>
        <w:rPr>
          <w:rFonts w:asciiTheme="minorHAnsi" w:hAnsiTheme="minorHAnsi" w:cstheme="minorHAnsi"/>
          <w:sz w:val="22"/>
          <w:szCs w:val="22"/>
          <w:u w:val="single"/>
        </w:rPr>
      </w:r>
    </w:p>
    <w:p w14:paraId="75381A04"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Après avoir vérifié que les offres reçues sont régulières, acceptables et appropriées, le Comité d’évaluation d’Expertise France procède à l'analyse des offres des soumissionnaires retenus en application des critères définis ci-après.</w:t>
      </w:r>
      <w:r>
        <w:rPr>
          <w:rFonts w:asciiTheme="minorHAnsi" w:hAnsiTheme="minorHAnsi" w:cstheme="minorHAnsi"/>
          <w:color w:val="000000"/>
          <w:sz w:val="22"/>
          <w:szCs w:val="22"/>
        </w:rPr>
      </w:r>
    </w:p>
    <w:p w14:paraId="044AFD93"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4BEE9617" w14:textId="77777777">
      <w:pPr>
        <w:pBdr/>
        <w:spacing/>
        <w:ind/>
        <w:jc w:val="both"/>
        <w:rPr>
          <w:rFonts w:asciiTheme="minorHAnsi" w:hAnsiTheme="minorHAnsi" w:cstheme="minorHAnsi"/>
          <w:b/>
          <w:color w:val="000000"/>
          <w:sz w:val="22"/>
          <w:szCs w:val="22"/>
          <w:u w:val="single"/>
        </w:rPr>
      </w:pPr>
      <w:r>
        <w:rPr>
          <w:rFonts w:asciiTheme="minorHAnsi" w:hAnsiTheme="minorHAnsi" w:cstheme="minorHAnsi"/>
          <w:b/>
          <w:color w:val="000000"/>
          <w:sz w:val="22"/>
          <w:szCs w:val="22"/>
          <w:u w:val="single"/>
        </w:rPr>
        <w:t xml:space="preserve">Régularisation des offres </w:t>
      </w:r>
      <w:r>
        <w:rPr>
          <w:rFonts w:asciiTheme="minorHAnsi" w:hAnsiTheme="minorHAnsi" w:cstheme="minorHAnsi"/>
          <w:b/>
          <w:color w:val="000000"/>
          <w:sz w:val="22"/>
          <w:szCs w:val="22"/>
          <w:u w:val="single"/>
        </w:rPr>
      </w:r>
    </w:p>
    <w:p w14:paraId="1B00D83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0A7339A8"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la simple faculté d’autoriser les soumissionnaires concerné</w:t>
      </w:r>
      <w:r>
        <w:rPr>
          <w:rFonts w:asciiTheme="minorHAnsi" w:hAnsiTheme="minorHAnsi" w:cstheme="minorHAnsi"/>
          <w:color w:val="000000"/>
          <w:sz w:val="22"/>
          <w:szCs w:val="22"/>
        </w:rPr>
        <w:t xml:space="preserve">s à régulariser les offres irrégulières, dans le respect du principe d’égalité de traitement, à la condition que ces offres ne soient pas anormalement basses et que leur régularisation n’ait pas pour effet d’en modifier les caractéristiques substantielles.</w:t>
      </w:r>
      <w:r>
        <w:rPr>
          <w:rFonts w:asciiTheme="minorHAnsi" w:hAnsiTheme="minorHAnsi" w:cstheme="minorHAnsi"/>
          <w:color w:val="000000"/>
          <w:sz w:val="22"/>
          <w:szCs w:val="22"/>
        </w:rPr>
      </w:r>
    </w:p>
    <w:p w14:paraId="017791B1"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631CD47E"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demande de régularisation précise les éléments à compléter, à préciser ou à corriger ainsi que le délai imparti pour y répondre. Ce délai est identique pour l’ensemble des soumissionnaires admis à régulariser leur offre.</w:t>
      </w:r>
      <w:r>
        <w:rPr>
          <w:rFonts w:asciiTheme="minorHAnsi" w:hAnsiTheme="minorHAnsi" w:cstheme="minorHAnsi"/>
          <w:color w:val="000000"/>
          <w:sz w:val="22"/>
          <w:szCs w:val="22"/>
        </w:rPr>
      </w:r>
    </w:p>
    <w:p w14:paraId="6410D18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7442C842"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défaut de régularisation dans le délai imparti, l’offre est écartée comme irrégulière.</w:t>
      </w:r>
      <w:r>
        <w:rPr>
          <w:rFonts w:asciiTheme="minorHAnsi" w:hAnsiTheme="minorHAnsi" w:cstheme="minorHAnsi"/>
          <w:color w:val="000000"/>
          <w:sz w:val="22"/>
          <w:szCs w:val="22"/>
        </w:rPr>
      </w:r>
    </w:p>
    <w:p w14:paraId="4109903A"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26EECB7A" w14:textId="77777777">
      <w:pPr>
        <w:pStyle w:val="1073"/>
        <w:pBdr/>
        <w:spacing w:after="120" w:before="120" w:line="240" w:lineRule="auto"/>
        <w:ind/>
        <w:jc w:val="both"/>
        <w:rPr>
          <w:rFonts w:asciiTheme="minorHAnsi" w:hAnsiTheme="minorHAnsi" w:cstheme="minorHAnsi"/>
          <w:sz w:val="22"/>
          <w:szCs w:val="22"/>
          <w:u w:val="single"/>
        </w:rPr>
      </w:pPr>
      <w:r/>
      <w:bookmarkStart w:id="44" w:name="_Toc242880944"/>
      <w:r>
        <w:rPr>
          <w:rFonts w:asciiTheme="minorHAnsi" w:hAnsiTheme="minorHAnsi" w:cstheme="minorHAnsi"/>
          <w:sz w:val="22"/>
          <w:szCs w:val="22"/>
          <w:u w:val="single"/>
        </w:rPr>
        <w:t xml:space="preserve">Rejet des offres irrégulières, inacceptables et inappropriées</w:t>
      </w:r>
      <w:bookmarkEnd w:id="44"/>
      <w:r/>
      <w:r>
        <w:rPr>
          <w:rFonts w:asciiTheme="minorHAnsi" w:hAnsiTheme="minorHAnsi" w:cstheme="minorHAnsi"/>
          <w:sz w:val="22"/>
          <w:szCs w:val="22"/>
          <w:u w:val="single"/>
        </w:rPr>
      </w:r>
    </w:p>
    <w:p w14:paraId="3200C8F5" w14:textId="77777777">
      <w:pPr>
        <w:pBdr/>
        <w:spacing/>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Comité d’évaluation procède à l’examen des offres reçues </w:t>
      </w:r>
      <w:r>
        <w:rPr>
          <w:rFonts w:asciiTheme="minorHAnsi" w:hAnsiTheme="minorHAnsi" w:cstheme="minorHAnsi"/>
          <w:color w:val="000000"/>
          <w:sz w:val="22"/>
          <w:szCs w:val="22"/>
        </w:rPr>
        <w:t xml:space="preserve">et, en application de l’article R.2152-1 du code de la commande publique, rejette les offres jugées irrégulières, inacceptables ou inappropriées, le cas échéant après mise en œuvre de la procédure de régularisation prévue à l’article R.2152-2 du même code.</w:t>
      </w:r>
      <w:r>
        <w:rPr>
          <w:rFonts w:asciiTheme="minorHAnsi" w:hAnsiTheme="minorHAnsi" w:cstheme="minorHAnsi"/>
          <w:color w:val="000000"/>
          <w:sz w:val="22"/>
          <w:szCs w:val="22"/>
        </w:rPr>
      </w:r>
    </w:p>
    <w:p w14:paraId="632A3D56" w14:textId="77777777">
      <w:pPr>
        <w:pStyle w:val="1073"/>
        <w:pBdr/>
        <w:spacing w:after="120" w:before="120" w:line="240" w:lineRule="auto"/>
        <w:ind/>
        <w:jc w:val="both"/>
        <w:rPr>
          <w:rFonts w:asciiTheme="minorHAnsi" w:hAnsiTheme="minorHAnsi" w:cstheme="minorHAnsi"/>
          <w:sz w:val="22"/>
          <w:szCs w:val="22"/>
          <w:u w:val="single"/>
        </w:rPr>
      </w:pPr>
      <w:r/>
      <w:bookmarkStart w:id="45" w:name="_Toc242880945"/>
      <w:r>
        <w:rPr>
          <w:rFonts w:asciiTheme="minorHAnsi" w:hAnsiTheme="minorHAnsi" w:cstheme="minorHAnsi"/>
          <w:sz w:val="22"/>
          <w:szCs w:val="22"/>
          <w:u w:val="single"/>
        </w:rPr>
        <w:t xml:space="preserve">Comparaison des offres pour sélection de l’offre économiquement la plus avantageuse</w:t>
      </w:r>
      <w:bookmarkEnd w:id="45"/>
      <w:r/>
      <w:r>
        <w:rPr>
          <w:rFonts w:asciiTheme="minorHAnsi" w:hAnsiTheme="minorHAnsi" w:cstheme="minorHAnsi"/>
          <w:sz w:val="22"/>
          <w:szCs w:val="22"/>
          <w:u w:val="single"/>
        </w:rPr>
      </w:r>
    </w:p>
    <w:p w14:paraId="66800061" w14:textId="77777777">
      <w:pPr>
        <w:pBdr/>
        <w:spacing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jugement des offres sera effectué séparément selon les critères suivants par l’attribution d'une note à concurrence du nombre de points maximum par critère figurant ci-après :</w:t>
      </w:r>
      <w:r>
        <w:rPr>
          <w:rFonts w:asciiTheme="minorHAnsi" w:hAnsiTheme="minorHAnsi" w:cstheme="minorHAnsi"/>
          <w:color w:val="000000"/>
          <w:sz w:val="22"/>
          <w:szCs w:val="22"/>
        </w:rPr>
      </w:r>
    </w:p>
    <w:p w14:paraId="579B77E8" w14:textId="77777777">
      <w:pPr>
        <w:pStyle w:val="1073"/>
        <w:pBdr/>
        <w:spacing w:after="120" w:before="120" w:line="240" w:lineRule="auto"/>
        <w:ind w:left="708"/>
        <w:jc w:val="both"/>
        <w:rPr>
          <w:rFonts w:asciiTheme="minorHAnsi" w:hAnsiTheme="minorHAnsi" w:cstheme="minorHAnsi"/>
          <w:i/>
          <w:sz w:val="22"/>
          <w:szCs w:val="22"/>
        </w:rPr>
      </w:pPr>
      <w:r/>
      <w:bookmarkStart w:id="46" w:name="_Toc242880946"/>
      <w:r>
        <w:rPr>
          <w:rFonts w:asciiTheme="minorHAnsi" w:hAnsiTheme="minorHAnsi" w:cstheme="minorHAnsi"/>
          <w:i/>
          <w:sz w:val="22"/>
          <w:szCs w:val="22"/>
        </w:rPr>
        <w:t xml:space="preserve">Critère 1 : prix des prestations</w:t>
      </w:r>
      <w:bookmarkEnd w:id="46"/>
      <w:r>
        <w:rPr>
          <w:rFonts w:asciiTheme="minorHAnsi" w:hAnsiTheme="minorHAnsi" w:cstheme="minorHAnsi"/>
          <w:i/>
          <w:sz w:val="22"/>
          <w:szCs w:val="22"/>
        </w:rPr>
        <w:t xml:space="preserve"> </w:t>
      </w:r>
      <w:r>
        <w:rPr>
          <w:rFonts w:asciiTheme="minorHAnsi" w:hAnsiTheme="minorHAnsi" w:cstheme="minorHAnsi"/>
          <w:i/>
          <w:sz w:val="22"/>
          <w:szCs w:val="22"/>
        </w:rPr>
      </w:r>
    </w:p>
    <w:p w14:paraId="0253E3FD" w14:textId="77777777">
      <w:pPr>
        <w:pBdr/>
        <w:spacing w:before="120"/>
        <w:ind/>
        <w:jc w:val="both"/>
        <w:rPr>
          <w:rFonts w:asciiTheme="minorHAnsi" w:hAnsiTheme="minorHAnsi" w:cstheme="minorHAnsi"/>
          <w:b/>
          <w:color w:val="000000"/>
          <w:sz w:val="22"/>
          <w:szCs w:val="22"/>
        </w:rPr>
      </w:pPr>
      <w:r>
        <w:rPr>
          <w:rFonts w:asciiTheme="minorHAnsi" w:hAnsiTheme="minorHAnsi" w:cstheme="minorHAnsi"/>
          <w:sz w:val="22"/>
          <w:szCs w:val="22"/>
        </w:rPr>
        <w:t xml:space="preserve">La </w:t>
      </w:r>
      <w:r>
        <w:rPr>
          <w:rFonts w:asciiTheme="minorHAnsi" w:hAnsiTheme="minorHAnsi" w:cstheme="minorHAnsi"/>
          <w:b/>
          <w:sz w:val="22"/>
          <w:szCs w:val="22"/>
        </w:rPr>
        <w:t xml:space="preserve">notation financière (NF sur 30 points maximum)</w:t>
      </w:r>
      <w:r>
        <w:rPr>
          <w:rFonts w:asciiTheme="minorHAnsi" w:hAnsiTheme="minorHAnsi" w:cstheme="minorHAnsi"/>
          <w:sz w:val="22"/>
          <w:szCs w:val="22"/>
        </w:rPr>
        <w:t xml:space="preserve"> portera sur la comparaison des offres financières de l’ensemble des candidats dont l’offre est régulière.</w:t>
      </w:r>
      <w:r>
        <w:rPr>
          <w:rFonts w:asciiTheme="minorHAnsi" w:hAnsiTheme="minorHAnsi" w:cstheme="minorHAnsi"/>
          <w:b/>
          <w:color w:val="000000"/>
          <w:sz w:val="22"/>
          <w:szCs w:val="22"/>
        </w:rPr>
      </w:r>
    </w:p>
    <w:p w14:paraId="675E192E" w14:textId="77777777">
      <w:pPr>
        <w:pStyle w:val="1073"/>
        <w:pBdr/>
        <w:spacing w:after="120" w:before="120" w:line="240" w:lineRule="auto"/>
        <w:ind w:left="708"/>
        <w:jc w:val="both"/>
        <w:rPr>
          <w:rFonts w:asciiTheme="minorHAnsi" w:hAnsiTheme="minorHAnsi" w:cstheme="minorHAnsi"/>
          <w:i/>
          <w:sz w:val="22"/>
          <w:szCs w:val="22"/>
        </w:rPr>
      </w:pPr>
      <w:r/>
      <w:bookmarkStart w:id="47" w:name="_Toc242880947"/>
      <w:r>
        <w:rPr>
          <w:rFonts w:asciiTheme="minorHAnsi" w:hAnsiTheme="minorHAnsi" w:cstheme="minorHAnsi"/>
          <w:i/>
          <w:sz w:val="22"/>
          <w:szCs w:val="22"/>
        </w:rPr>
        <w:t xml:space="preserve">Critère 2 : Qualité technique</w:t>
      </w:r>
      <w:bookmarkEnd w:id="47"/>
      <w:r/>
      <w:r>
        <w:rPr>
          <w:rFonts w:asciiTheme="minorHAnsi" w:hAnsiTheme="minorHAnsi" w:cstheme="minorHAnsi"/>
          <w:i/>
          <w:sz w:val="22"/>
          <w:szCs w:val="22"/>
        </w:rPr>
      </w:r>
    </w:p>
    <w:p w14:paraId="1FF8E35D" w14:textId="77777777">
      <w:pPr>
        <w:pBdr/>
        <w:spacing/>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tbl>
      <w:tblPr>
        <w:tblStyle w:val="1284"/>
        <w:tblInd w:w="-17" w:type="dxa"/>
        <w:tblW w:w="0" w:type="auto"/>
        <w:tblBorders/>
        <w:tblLayout w:type="fixed"/>
        <w:tblLook w:val="04A0" w:firstRow="1" w:lastRow="0" w:firstColumn="1" w:lastColumn="0" w:noHBand="0" w:noVBand="1"/>
      </w:tblPr>
      <w:tblGrid>
        <w:gridCol w:w="6671"/>
        <w:gridCol w:w="2692"/>
      </w:tblGrid>
      <w:tr>
        <w:trPr/>
        <w:tc>
          <w:tcPr>
            <w:shd w:val="clear" w:color="auto" w:fill="d9d9d9" w:themeFill="background1" w:themeFillShade="D9"/>
            <w:tcBorders/>
            <w:tcW w:w="6671" w:type="dxa"/>
            <w:vAlign w:val="center"/>
            <w:textDirection w:val="lrTb"/>
            <w:noWrap w:val="false"/>
          </w:tcPr>
          <w:p w14:paraId="2A37359D"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Sous-critères permettant d’apprécier la qualité technique</w:t>
            </w:r>
            <w:r>
              <w:rPr>
                <w:rFonts w:asciiTheme="minorHAnsi" w:hAnsiTheme="minorHAnsi" w:cstheme="minorHAnsi"/>
                <w:b/>
                <w:sz w:val="22"/>
                <w:szCs w:val="22"/>
              </w:rPr>
            </w:r>
          </w:p>
        </w:tc>
        <w:tc>
          <w:tcPr>
            <w:shd w:val="clear" w:color="auto" w:fill="d9d9d9" w:themeFill="background1" w:themeFillShade="D9"/>
            <w:tcBorders/>
            <w:tcW w:w="2692" w:type="dxa"/>
            <w:vAlign w:val="center"/>
            <w:textDirection w:val="lrTb"/>
            <w:noWrap w:val="false"/>
          </w:tcPr>
          <w:p w14:paraId="23107ECF"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Nombre de points maximum</w:t>
            </w:r>
            <w:r>
              <w:rPr>
                <w:rFonts w:asciiTheme="minorHAnsi" w:hAnsiTheme="minorHAnsi" w:cstheme="minorHAnsi"/>
                <w:b/>
                <w:sz w:val="22"/>
                <w:szCs w:val="22"/>
              </w:rPr>
            </w:r>
          </w:p>
        </w:tc>
      </w:tr>
      <w:tr>
        <w:trPr/>
        <w:tc>
          <w:tcPr>
            <w:tcBorders/>
            <w:tcW w:w="6671" w:type="dxa"/>
            <w:vAlign w:val="center"/>
            <w:textDirection w:val="lrTb"/>
            <w:noWrap w:val="false"/>
          </w:tcPr>
          <w:p w14:paraId="32CC70EB"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1 : Qualité de la méthodologie, appréciée au regard de la description des services proposés</w:t>
            </w:r>
            <w:r>
              <w:rPr>
                <w:rFonts w:asciiTheme="minorHAnsi" w:hAnsiTheme="minorHAnsi" w:cstheme="minorHAnsi"/>
                <w:b/>
                <w:sz w:val="22"/>
                <w:szCs w:val="22"/>
              </w:rPr>
            </w:r>
          </w:p>
        </w:tc>
        <w:tc>
          <w:tcPr>
            <w:tcBorders/>
            <w:tcW w:w="2692" w:type="dxa"/>
            <w:vAlign w:val="center"/>
            <w:textDirection w:val="lrTb"/>
            <w:noWrap w:val="false"/>
          </w:tcPr>
          <w:p w14:paraId="6814C614" w14:textId="6BEC219D">
            <w:pPr>
              <w:pBdr/>
              <w:spacing/>
              <w:ind/>
              <w:jc w:val="center"/>
              <w:rPr>
                <w:rFonts w:asciiTheme="minorHAnsi" w:hAnsiTheme="minorHAnsi" w:cstheme="minorBidi"/>
                <w:b/>
                <w:bCs/>
                <w:sz w:val="22"/>
                <w:szCs w:val="22"/>
              </w:rPr>
            </w:pPr>
            <w:r>
              <w:rPr>
                <w:rFonts w:asciiTheme="minorHAnsi" w:hAnsiTheme="minorHAnsi" w:cstheme="minorBidi"/>
                <w:b/>
                <w:bCs/>
                <w:sz w:val="22"/>
                <w:szCs w:val="22"/>
              </w:rPr>
              <w:t xml:space="preserve">15</w:t>
            </w:r>
            <w:r>
              <w:rPr>
                <w:rFonts w:asciiTheme="minorHAnsi" w:hAnsiTheme="minorHAnsi" w:cstheme="minorBidi"/>
                <w:b/>
                <w:bCs/>
                <w:sz w:val="22"/>
                <w:szCs w:val="22"/>
              </w:rPr>
            </w:r>
          </w:p>
        </w:tc>
      </w:tr>
      <w:tr>
        <w:trPr/>
        <w:tc>
          <w:tcPr>
            <w:tcBorders/>
            <w:tcW w:w="6671" w:type="dxa"/>
            <w:vAlign w:val="center"/>
            <w:textDirection w:val="lrTb"/>
            <w:noWrap w:val="false"/>
          </w:tcPr>
          <w:p w14:paraId="15F0012B"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2 : Qualité de l’organisation, appréciée au regard du chronogramme et du tableau de remise des livrables</w:t>
            </w:r>
            <w:r>
              <w:rPr>
                <w:rFonts w:asciiTheme="minorHAnsi" w:hAnsiTheme="minorHAnsi" w:cstheme="minorHAnsi"/>
                <w:b/>
                <w:sz w:val="22"/>
                <w:szCs w:val="22"/>
              </w:rPr>
            </w:r>
          </w:p>
        </w:tc>
        <w:tc>
          <w:tcPr>
            <w:tcBorders/>
            <w:tcW w:w="2692" w:type="dxa"/>
            <w:vAlign w:val="center"/>
            <w:textDirection w:val="lrTb"/>
            <w:noWrap w:val="false"/>
          </w:tcPr>
          <w:p w14:paraId="33698EFC" w14:textId="1168E280">
            <w:pPr>
              <w:pBdr/>
              <w:spacing/>
              <w:ind/>
              <w:jc w:val="center"/>
              <w:rPr>
                <w:rFonts w:asciiTheme="minorHAnsi" w:hAnsiTheme="minorHAnsi" w:cstheme="minorBidi"/>
                <w:b/>
                <w:bCs/>
                <w:sz w:val="22"/>
                <w:szCs w:val="22"/>
              </w:rPr>
            </w:pPr>
            <w:r>
              <w:rPr>
                <w:rFonts w:asciiTheme="minorHAnsi" w:hAnsiTheme="minorHAnsi" w:cstheme="minorBidi"/>
                <w:b/>
                <w:bCs/>
                <w:sz w:val="22"/>
                <w:szCs w:val="22"/>
              </w:rPr>
              <w:t xml:space="preserve">15</w:t>
            </w:r>
            <w:r>
              <w:rPr>
                <w:rFonts w:asciiTheme="minorHAnsi" w:hAnsiTheme="minorHAnsi" w:cstheme="minorBidi"/>
                <w:b/>
                <w:bCs/>
                <w:sz w:val="22"/>
                <w:szCs w:val="22"/>
              </w:rPr>
            </w:r>
          </w:p>
        </w:tc>
      </w:tr>
      <w:tr>
        <w:trPr/>
        <w:tc>
          <w:tcPr>
            <w:tcBorders/>
            <w:tcW w:w="6671" w:type="dxa"/>
            <w:vAlign w:val="center"/>
            <w:textDirection w:val="lrTb"/>
            <w:noWrap w:val="false"/>
          </w:tcPr>
          <w:p w14:paraId="3DAE4CB3" w14:textId="77777777">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3 : Pertinence et qualité des experts pressentis pour la réalisation du marché  </w:t>
            </w:r>
            <w:r>
              <w:rPr>
                <w:rFonts w:asciiTheme="minorHAnsi" w:hAnsiTheme="minorHAnsi" w:cstheme="minorHAnsi"/>
                <w:b/>
                <w:sz w:val="22"/>
                <w:szCs w:val="22"/>
              </w:rPr>
            </w:r>
          </w:p>
        </w:tc>
        <w:tc>
          <w:tcPr>
            <w:tcBorders/>
            <w:tcW w:w="2692" w:type="dxa"/>
            <w:vAlign w:val="center"/>
            <w:textDirection w:val="lrTb"/>
            <w:noWrap w:val="false"/>
          </w:tcPr>
          <w:p w14:paraId="62C1310A"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25</w:t>
            </w:r>
            <w:r>
              <w:rPr>
                <w:rFonts w:asciiTheme="minorHAnsi" w:hAnsiTheme="minorHAnsi" w:cstheme="minorHAnsi"/>
                <w:b/>
                <w:sz w:val="22"/>
                <w:szCs w:val="22"/>
              </w:rPr>
            </w:r>
          </w:p>
        </w:tc>
      </w:tr>
      <w:tr>
        <w:trPr/>
        <w:tc>
          <w:tcPr>
            <w:tcBorders/>
            <w:tcW w:w="6671" w:type="dxa"/>
            <w:vAlign w:val="center"/>
            <w:textDirection w:val="lrTb"/>
            <w:noWrap w:val="false"/>
          </w:tcPr>
          <w:p w14:paraId="4A8D1FF3" w14:textId="164344EE">
            <w:pPr>
              <w:pBdr/>
              <w:spacing/>
              <w:ind/>
              <w:jc w:val="both"/>
              <w:rPr>
                <w:rFonts w:asciiTheme="minorHAnsi" w:hAnsiTheme="minorHAnsi" w:cstheme="minorHAnsi"/>
                <w:b/>
                <w:sz w:val="22"/>
                <w:szCs w:val="22"/>
              </w:rPr>
            </w:pPr>
            <w:r>
              <w:rPr>
                <w:rFonts w:asciiTheme="minorHAnsi" w:hAnsiTheme="minorHAnsi" w:cstheme="minorHAnsi"/>
                <w:b/>
                <w:sz w:val="22"/>
                <w:szCs w:val="22"/>
              </w:rPr>
              <w:t xml:space="preserve">Sous-critère 4 : Capacité</w:t>
            </w:r>
            <w:r>
              <w:rPr>
                <w:rFonts w:asciiTheme="minorHAnsi" w:hAnsiTheme="minorHAnsi" w:cstheme="minorHAnsi"/>
                <w:b/>
                <w:sz w:val="22"/>
                <w:szCs w:val="22"/>
              </w:rPr>
              <w:t xml:space="preserve"> technique du candidat</w:t>
            </w:r>
            <w:r>
              <w:rPr>
                <w:rFonts w:asciiTheme="minorHAnsi" w:hAnsiTheme="minorHAnsi" w:cstheme="minorHAnsi"/>
                <w:b/>
                <w:sz w:val="22"/>
                <w:szCs w:val="22"/>
              </w:rPr>
              <w:t xml:space="preserve"> à élaborer et structurer des plans d’action et d’investissement dans le domaine de l’économie bleue</w:t>
            </w:r>
            <w:r>
              <w:rPr>
                <w:rFonts w:asciiTheme="minorHAnsi" w:hAnsiTheme="minorHAnsi" w:cstheme="minorHAnsi"/>
                <w:b/>
                <w:sz w:val="22"/>
                <w:szCs w:val="22"/>
              </w:rPr>
            </w:r>
          </w:p>
        </w:tc>
        <w:tc>
          <w:tcPr>
            <w:tcBorders/>
            <w:tcW w:w="2692" w:type="dxa"/>
            <w:vAlign w:val="center"/>
            <w:textDirection w:val="lrTb"/>
            <w:noWrap w:val="false"/>
          </w:tcPr>
          <w:p w14:paraId="230F7775" w14:textId="283BCA08">
            <w:pPr>
              <w:pBdr/>
              <w:spacing/>
              <w:ind/>
              <w:jc w:val="center"/>
              <w:rPr/>
            </w:pPr>
            <w:r>
              <w:rPr>
                <w:rFonts w:asciiTheme="minorHAnsi" w:hAnsiTheme="minorHAnsi" w:cstheme="minorBidi"/>
                <w:b/>
                <w:bCs/>
                <w:sz w:val="22"/>
                <w:szCs w:val="22"/>
              </w:rPr>
              <w:t xml:space="preserve">15</w:t>
            </w:r>
            <w:r/>
          </w:p>
        </w:tc>
      </w:tr>
      <w:tr>
        <w:trPr/>
        <w:tc>
          <w:tcPr>
            <w:tcBorders/>
            <w:tcW w:w="6671" w:type="dxa"/>
            <w:textDirection w:val="lrTb"/>
            <w:noWrap w:val="false"/>
          </w:tcPr>
          <w:p w14:paraId="31AC5648" w14:textId="77777777">
            <w:pPr>
              <w:pBdr/>
              <w:spacing/>
              <w:ind/>
              <w:jc w:val="right"/>
              <w:rPr>
                <w:rFonts w:asciiTheme="minorHAnsi" w:hAnsiTheme="minorHAnsi" w:cstheme="minorHAnsi"/>
                <w:b/>
                <w:sz w:val="22"/>
                <w:szCs w:val="22"/>
              </w:rPr>
            </w:pPr>
            <w:r>
              <w:rPr>
                <w:rFonts w:asciiTheme="minorHAnsi" w:hAnsiTheme="minorHAnsi" w:cstheme="minorHAnsi"/>
                <w:b/>
                <w:sz w:val="22"/>
                <w:szCs w:val="22"/>
              </w:rPr>
              <w:t xml:space="preserve">TOTAL</w:t>
            </w:r>
            <w:r>
              <w:rPr>
                <w:rFonts w:asciiTheme="minorHAnsi" w:hAnsiTheme="minorHAnsi" w:cstheme="minorHAnsi"/>
                <w:b/>
                <w:sz w:val="22"/>
                <w:szCs w:val="22"/>
              </w:rPr>
            </w:r>
          </w:p>
        </w:tc>
        <w:tc>
          <w:tcPr>
            <w:tcBorders/>
            <w:tcW w:w="2692" w:type="dxa"/>
            <w:vAlign w:val="center"/>
            <w:textDirection w:val="lrTb"/>
            <w:noWrap w:val="false"/>
          </w:tcPr>
          <w:p w14:paraId="3B76D4CF" w14:textId="77777777">
            <w:pPr>
              <w:pBdr/>
              <w:spacing/>
              <w:ind/>
              <w:jc w:val="center"/>
              <w:rPr>
                <w:rFonts w:asciiTheme="minorHAnsi" w:hAnsiTheme="minorHAnsi" w:cstheme="minorHAnsi"/>
                <w:b/>
                <w:sz w:val="22"/>
                <w:szCs w:val="22"/>
              </w:rPr>
            </w:pPr>
            <w:r>
              <w:rPr>
                <w:rFonts w:asciiTheme="minorHAnsi" w:hAnsiTheme="minorHAnsi" w:cstheme="minorHAnsi"/>
                <w:b/>
                <w:sz w:val="22"/>
                <w:szCs w:val="22"/>
              </w:rPr>
              <w:t xml:space="preserve">70</w:t>
            </w:r>
            <w:r>
              <w:rPr>
                <w:rFonts w:asciiTheme="minorHAnsi" w:hAnsiTheme="minorHAnsi" w:cstheme="minorHAnsi"/>
                <w:b/>
                <w:sz w:val="22"/>
                <w:szCs w:val="22"/>
              </w:rPr>
            </w:r>
          </w:p>
        </w:tc>
      </w:tr>
    </w:tbl>
    <w:p w14:paraId="12DD7456"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54C4B9E5"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Chaque offre technique, jugée conforme techniquement, se verra attribuer une </w:t>
      </w:r>
      <w:r>
        <w:rPr>
          <w:rFonts w:asciiTheme="minorHAnsi" w:hAnsiTheme="minorHAnsi" w:cstheme="minorHAnsi"/>
          <w:b/>
          <w:sz w:val="22"/>
          <w:szCs w:val="22"/>
        </w:rPr>
        <w:t xml:space="preserve">note technique (NT sur 70 points maximum) </w:t>
      </w:r>
      <w:r>
        <w:rPr>
          <w:rFonts w:asciiTheme="minorHAnsi" w:hAnsiTheme="minorHAnsi" w:cstheme="minorHAnsi"/>
          <w:sz w:val="22"/>
          <w:szCs w:val="22"/>
        </w:rPr>
        <w:t xml:space="preserve">par addition des notes pondérées obtenues sur chaque sous-critère.</w:t>
      </w:r>
      <w:r>
        <w:rPr>
          <w:rFonts w:asciiTheme="minorHAnsi" w:hAnsiTheme="minorHAnsi" w:cstheme="minorHAnsi"/>
          <w:sz w:val="22"/>
          <w:szCs w:val="22"/>
        </w:rPr>
      </w:r>
    </w:p>
    <w:p w14:paraId="1A1C57F1"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Les offres ayant obtenues une note technique inférieure à 42/70 seront considérées comme inappropriées.</w:t>
      </w:r>
      <w:r>
        <w:rPr>
          <w:rFonts w:asciiTheme="minorHAnsi" w:hAnsiTheme="minorHAnsi" w:cstheme="minorHAnsi"/>
          <w:sz w:val="22"/>
          <w:szCs w:val="22"/>
        </w:rPr>
      </w:r>
    </w:p>
    <w:p w14:paraId="4C66728B"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11452EF7" w14:textId="77777777">
      <w:pPr>
        <w:pStyle w:val="1073"/>
        <w:pBdr/>
        <w:spacing w:after="120" w:before="120" w:line="240" w:lineRule="auto"/>
        <w:ind/>
        <w:jc w:val="both"/>
        <w:rPr>
          <w:rFonts w:asciiTheme="minorHAnsi" w:hAnsiTheme="minorHAnsi" w:cstheme="minorHAnsi"/>
          <w:sz w:val="22"/>
          <w:szCs w:val="22"/>
          <w:u w:val="single"/>
        </w:rPr>
      </w:pPr>
      <w:r/>
      <w:bookmarkStart w:id="48" w:name="_Toc242880948"/>
      <w:r>
        <w:rPr>
          <w:rFonts w:asciiTheme="minorHAnsi" w:hAnsiTheme="minorHAnsi" w:cstheme="minorHAnsi"/>
          <w:sz w:val="22"/>
          <w:szCs w:val="22"/>
          <w:u w:val="single"/>
        </w:rPr>
        <w:t xml:space="preserve">Négociations</w:t>
      </w:r>
      <w:bookmarkEnd w:id="48"/>
      <w:r/>
      <w:r>
        <w:rPr>
          <w:rFonts w:asciiTheme="minorHAnsi" w:hAnsiTheme="minorHAnsi" w:cstheme="minorHAnsi"/>
          <w:sz w:val="22"/>
          <w:szCs w:val="22"/>
          <w:u w:val="single"/>
        </w:rPr>
      </w:r>
    </w:p>
    <w:p w14:paraId="262785DC"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la possibilité d’engager une négociation dans les conditions fixées par le présent règlement de la consultation.</w:t>
      </w:r>
      <w:r>
        <w:rPr>
          <w:rFonts w:asciiTheme="minorHAnsi" w:hAnsiTheme="minorHAnsi" w:cstheme="minorHAnsi"/>
          <w:color w:val="000000"/>
          <w:sz w:val="22"/>
          <w:szCs w:val="22"/>
        </w:rPr>
      </w:r>
    </w:p>
    <w:p w14:paraId="55471160"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Si la négociation est mise en œuvre, elle pourra être conduite soit avec l’ensemble des soumissionnaires ayant remis une offre, soit avec un nombre limité de soumissionnaires ayant remis</w:t>
      </w:r>
      <w:r>
        <w:rPr>
          <w:rFonts w:asciiTheme="minorHAnsi" w:hAnsiTheme="minorHAnsi" w:cstheme="minorHAnsi"/>
          <w:color w:val="000000"/>
          <w:sz w:val="22"/>
          <w:szCs w:val="22"/>
        </w:rPr>
        <w:t xml:space="preserve"> une offre régulière ou une offre ayant pu être régularisée dans les conditions prévues au présent règlement, sélectionnés sur la base des critères d’attribution définis dans les documents de la consultation, dans la limite des 3 offres les mieux classées.</w:t>
      </w:r>
      <w:r>
        <w:rPr>
          <w:rFonts w:asciiTheme="minorHAnsi" w:hAnsiTheme="minorHAnsi" w:cstheme="minorHAnsi"/>
          <w:color w:val="000000"/>
          <w:sz w:val="22"/>
          <w:szCs w:val="22"/>
        </w:rPr>
      </w:r>
    </w:p>
    <w:p w14:paraId="22728284"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 négociation pourra porter sur les éléments techniques, administratifs, calendaires et financiers de l’offre, notamment sur les modalités d’exécution des prest</w:t>
      </w:r>
      <w:r>
        <w:rPr>
          <w:rFonts w:asciiTheme="minorHAnsi" w:hAnsiTheme="minorHAnsi" w:cstheme="minorHAnsi"/>
          <w:color w:val="000000"/>
          <w:sz w:val="22"/>
          <w:szCs w:val="22"/>
        </w:rPr>
        <w:t xml:space="preserve">ations, l’organisation et la méthodologie proposées, les moyens affectés à l’exécution du marché, les délais et le phasage, les engagements de qualité ou de performance, ainsi que sur les aspects financiers de l’offre, notamment le prix et ses composantes.</w:t>
      </w:r>
      <w:r>
        <w:rPr>
          <w:rFonts w:asciiTheme="minorHAnsi" w:hAnsiTheme="minorHAnsi" w:cstheme="minorHAnsi"/>
          <w:color w:val="000000"/>
          <w:sz w:val="22"/>
          <w:szCs w:val="22"/>
        </w:rPr>
      </w:r>
    </w:p>
    <w:p w14:paraId="1E05D859" w14:textId="77777777">
      <w:pPr>
        <w:pBdr/>
        <w:spacing w:before="120"/>
        <w:ind/>
        <w:jc w:val="both"/>
        <w:rPr>
          <w:rFonts w:asciiTheme="minorHAnsi" w:hAnsiTheme="minorHAnsi" w:cstheme="minorHAnsi"/>
          <w:sz w:val="22"/>
          <w:szCs w:val="22"/>
        </w:rPr>
      </w:pPr>
      <w:r>
        <w:rPr>
          <w:rFonts w:asciiTheme="minorHAnsi" w:hAnsiTheme="minorHAnsi" w:cstheme="minorHAnsi"/>
          <w:sz w:val="22"/>
          <w:szCs w:val="22"/>
        </w:rPr>
        <w:t xml:space="preserve">La négociation ne pourra toutefois porter ni sur l’objet du marché, ni sur les exigences minimales définies dans les documents de la consultation, ni sur les critères d’attribution, ni sur leurs modalités de mise en œuvre.</w:t>
      </w:r>
      <w:r>
        <w:rPr>
          <w:rFonts w:asciiTheme="minorHAnsi" w:hAnsiTheme="minorHAnsi" w:cstheme="minorHAnsi"/>
          <w:sz w:val="22"/>
          <w:szCs w:val="22"/>
        </w:rPr>
      </w:r>
    </w:p>
    <w:p w14:paraId="6149925D" w14:textId="53E531E7">
      <w:pPr>
        <w:pBdr/>
        <w:spacing w:before="120"/>
        <w:ind/>
        <w:jc w:val="both"/>
        <w:rPr>
          <w:rFonts w:asciiTheme="minorHAnsi" w:hAnsiTheme="minorHAnsi" w:cstheme="minorBidi"/>
          <w:color w:val="000000"/>
          <w:sz w:val="22"/>
          <w:szCs w:val="22"/>
        </w:rPr>
      </w:pPr>
      <w:r>
        <w:rPr>
          <w:rFonts w:asciiTheme="minorHAnsi" w:hAnsiTheme="minorHAnsi" w:cstheme="minorBidi"/>
          <w:color w:val="000000" w:themeColor="text1"/>
          <w:sz w:val="22"/>
          <w:szCs w:val="22"/>
        </w:rPr>
        <w:t xml:space="preserve">Les soumissionnaires admis à négocier seront convoqués par écrit. La séance de négociation se tiendra par visioconférence dans la semaine du 16</w:t>
      </w:r>
      <w:r>
        <w:rPr>
          <w:rFonts w:asciiTheme="minorHAnsi" w:hAnsiTheme="minorHAnsi" w:cstheme="minorBidi"/>
          <w:sz w:val="22"/>
          <w:szCs w:val="22"/>
        </w:rPr>
        <w:t xml:space="preserve"> novembre 2026</w:t>
      </w:r>
      <w:r>
        <w:rPr>
          <w:rFonts w:asciiTheme="minorHAnsi" w:hAnsiTheme="minorHAnsi" w:cstheme="minorBidi"/>
          <w:color w:val="000000" w:themeColor="text1"/>
          <w:sz w:val="22"/>
          <w:szCs w:val="22"/>
        </w:rPr>
        <w:t xml:space="preserve">, sous réserve de confirmation écrite </w:t>
      </w:r>
      <w:r>
        <w:rPr>
          <w:rFonts w:asciiTheme="minorHAnsi" w:hAnsiTheme="minorHAnsi" w:cstheme="minorBidi"/>
          <w:color w:val="000000" w:themeColor="text1"/>
          <w:sz w:val="22"/>
          <w:szCs w:val="22"/>
        </w:rPr>
        <w:t xml:space="preserve">adressée aux soumissionnaires au plus tard 2 jours calendaires avant la date retenue. Les soumissionnaires seront reçus individuellement, selon les modalités d’organisation arrêtées par Expertise France, dans le respect du principe d’égalité de traitement.</w:t>
      </w:r>
      <w:r>
        <w:rPr>
          <w:rFonts w:asciiTheme="minorHAnsi" w:hAnsiTheme="minorHAnsi" w:cstheme="minorBidi"/>
          <w:color w:val="000000"/>
          <w:sz w:val="22"/>
          <w:szCs w:val="22"/>
        </w:rPr>
      </w:r>
    </w:p>
    <w:p w14:paraId="5E80F74A"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Chaque</w:t>
      </w:r>
      <w:r>
        <w:rPr>
          <w:rFonts w:asciiTheme="minorHAnsi" w:hAnsiTheme="minorHAnsi" w:cstheme="minorHAnsi"/>
          <w:color w:val="000000"/>
          <w:sz w:val="22"/>
          <w:szCs w:val="22"/>
        </w:rPr>
        <w:t xml:space="preserve"> soumissionnaire disposera d’un temps de présentation de 45 minutes maximum portant sur tout point de son choix en lien avec l’offre remise. Le reste de l’entretien sera consacré aux questions et échanges relatifs aux seuls éléments négociables de l’offre.</w:t>
      </w:r>
      <w:r>
        <w:rPr>
          <w:rFonts w:asciiTheme="minorHAnsi" w:hAnsiTheme="minorHAnsi" w:cstheme="minorHAnsi"/>
          <w:color w:val="000000"/>
          <w:sz w:val="22"/>
          <w:szCs w:val="22"/>
        </w:rPr>
      </w:r>
    </w:p>
    <w:p w14:paraId="149BB53E"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L’acheteur se réserve la possibilit</w:t>
      </w:r>
      <w:r>
        <w:rPr>
          <w:rFonts w:asciiTheme="minorHAnsi" w:hAnsiTheme="minorHAnsi" w:cstheme="minorHAnsi"/>
          <w:color w:val="000000"/>
          <w:sz w:val="22"/>
          <w:szCs w:val="22"/>
        </w:rPr>
        <w:t xml:space="preserve">é d’organiser un ou plusieurs tours de négociation. Les informations communiquées par un soumissionnaire dans le cadre de la négociation et présentant un caractère confidentiel ne seront pas divulguées aux autres soumissionnaires sans son accord préalable.</w:t>
      </w:r>
      <w:r>
        <w:rPr>
          <w:rFonts w:asciiTheme="minorHAnsi" w:hAnsiTheme="minorHAnsi" w:cstheme="minorHAnsi"/>
          <w:color w:val="000000"/>
          <w:sz w:val="22"/>
          <w:szCs w:val="22"/>
        </w:rPr>
      </w:r>
    </w:p>
    <w:p w14:paraId="3484B975"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Les échanges de négociation feront l’objet d’une traçabilité appropriée. À ce titre, un compte rendu ou un procès-verbal pourra être établi pour chaque séance.</w:t>
      </w:r>
      <w:r>
        <w:rPr>
          <w:rFonts w:asciiTheme="minorHAnsi" w:hAnsiTheme="minorHAnsi" w:cstheme="minorHAnsi"/>
          <w:color w:val="000000"/>
          <w:sz w:val="22"/>
          <w:szCs w:val="22"/>
        </w:rPr>
      </w:r>
    </w:p>
    <w:p w14:paraId="62CB7E3D"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w:t>
      </w:r>
      <w:r>
        <w:rPr>
          <w:rFonts w:asciiTheme="minorHAnsi" w:hAnsiTheme="minorHAnsi" w:cstheme="minorHAnsi"/>
          <w:color w:val="000000"/>
          <w:sz w:val="22"/>
          <w:szCs w:val="22"/>
        </w:rPr>
        <w:t xml:space="preserve">e offre révisée tenant compte des échanges intervenus. En l’absence de remise d’une offre révisée dans le délai imparti, l’offre précédemment remise sera réputée maintenue, sauf indication contraire figurant dans l’invitation à remettre une offre révisée. </w:t>
      </w:r>
      <w:r>
        <w:rPr>
          <w:rFonts w:asciiTheme="minorHAnsi" w:hAnsiTheme="minorHAnsi" w:cstheme="minorHAnsi"/>
          <w:color w:val="000000"/>
          <w:sz w:val="22"/>
          <w:szCs w:val="22"/>
        </w:rPr>
      </w:r>
    </w:p>
    <w:p w14:paraId="33B6E7F7"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Expertise France se réserve également la possibilité d’attribuer le marché sans négociation. </w:t>
      </w:r>
      <w:r>
        <w:rPr>
          <w:rFonts w:asciiTheme="minorHAnsi" w:hAnsiTheme="minorHAnsi" w:cstheme="minorHAnsi"/>
          <w:color w:val="000000"/>
          <w:sz w:val="22"/>
          <w:szCs w:val="22"/>
        </w:rPr>
      </w:r>
    </w:p>
    <w:p w14:paraId="0AEDC799" w14:textId="77777777">
      <w:pPr>
        <w:pBdr/>
        <w:spacing w:before="120"/>
        <w:ind/>
        <w:jc w:val="both"/>
        <w:rPr>
          <w:rFonts w:asciiTheme="minorHAnsi" w:hAnsiTheme="minorHAnsi" w:cstheme="minorHAnsi"/>
          <w:color w:val="000000"/>
          <w:sz w:val="22"/>
          <w:szCs w:val="22"/>
        </w:rPr>
      </w:pPr>
      <w:r>
        <w:rPr>
          <w:rFonts w:asciiTheme="minorHAnsi" w:hAnsiTheme="minorHAnsi" w:cstheme="minorHAnsi"/>
          <w:color w:val="000000"/>
          <w:sz w:val="22"/>
          <w:szCs w:val="22"/>
        </w:rPr>
      </w:r>
      <w:r>
        <w:rPr>
          <w:rFonts w:asciiTheme="minorHAnsi" w:hAnsiTheme="minorHAnsi" w:cstheme="minorHAnsi"/>
          <w:color w:val="000000"/>
          <w:sz w:val="22"/>
          <w:szCs w:val="22"/>
        </w:rPr>
      </w:r>
    </w:p>
    <w:p w14:paraId="5F0EFC64" w14:textId="77777777">
      <w:pPr>
        <w:pStyle w:val="1073"/>
        <w:pBdr/>
        <w:spacing w:after="120" w:before="120" w:line="240" w:lineRule="auto"/>
        <w:ind w:left="708"/>
        <w:jc w:val="both"/>
        <w:rPr>
          <w:rFonts w:asciiTheme="minorHAnsi" w:hAnsiTheme="minorHAnsi" w:cstheme="minorHAnsi"/>
          <w:i/>
          <w:sz w:val="22"/>
          <w:szCs w:val="22"/>
        </w:rPr>
      </w:pPr>
      <w:r/>
      <w:bookmarkStart w:id="49" w:name="_Toc242880949"/>
      <w:r>
        <w:rPr>
          <w:rFonts w:asciiTheme="minorHAnsi" w:hAnsiTheme="minorHAnsi" w:cstheme="minorHAnsi"/>
          <w:i/>
          <w:sz w:val="22"/>
          <w:szCs w:val="22"/>
        </w:rPr>
        <w:t xml:space="preserve">Audition des soumissionnaires – négociation des offres</w:t>
      </w:r>
      <w:bookmarkEnd w:id="49"/>
      <w:r/>
      <w:r>
        <w:rPr>
          <w:rFonts w:asciiTheme="minorHAnsi" w:hAnsiTheme="minorHAnsi" w:cstheme="minorHAnsi"/>
          <w:i/>
          <w:sz w:val="22"/>
          <w:szCs w:val="22"/>
        </w:rPr>
      </w:r>
    </w:p>
    <w:p w14:paraId="5CF570ED" w14:textId="77777777">
      <w:pPr>
        <w:pBdr/>
        <w:spacing/>
        <w:ind/>
        <w:jc w:val="both"/>
        <w:rPr>
          <w:rFonts w:asciiTheme="minorHAnsi" w:hAnsiTheme="minorHAnsi" w:cstheme="minorHAnsi"/>
          <w:sz w:val="22"/>
          <w:szCs w:val="22"/>
        </w:rPr>
      </w:pPr>
      <w:r>
        <w:rPr>
          <w:rFonts w:asciiTheme="minorHAnsi" w:hAnsiTheme="minorHAnsi" w:cstheme="minorHAnsi"/>
          <w:sz w:val="22"/>
          <w:szCs w:val="22"/>
        </w:rPr>
        <w:t xml:space="preserve">Les soumissionnaires seront invités à présenter leur offre. </w:t>
      </w:r>
      <w:r>
        <w:rPr>
          <w:rFonts w:asciiTheme="minorHAnsi" w:hAnsiTheme="minorHAnsi" w:cstheme="minorHAnsi"/>
          <w:sz w:val="22"/>
          <w:szCs w:val="22"/>
        </w:rPr>
      </w:r>
    </w:p>
    <w:p w14:paraId="4EFA23D1" w14:textId="77777777">
      <w:pPr>
        <w:pBdr/>
        <w:spacing/>
        <w:ind/>
        <w:jc w:val="both"/>
        <w:rPr>
          <w:rFonts w:asciiTheme="minorHAnsi" w:hAnsiTheme="minorHAnsi" w:cstheme="minorHAnsi"/>
          <w:sz w:val="22"/>
          <w:szCs w:val="22"/>
        </w:rPr>
      </w:pPr>
      <w:r>
        <w:rPr>
          <w:rFonts w:asciiTheme="minorHAnsi" w:hAnsiTheme="minorHAnsi" w:cstheme="minorHAnsi"/>
          <w:sz w:val="22"/>
          <w:szCs w:val="22"/>
        </w:rPr>
        <w:t xml:space="preserve">La négociation pourra se poursuivre par échanges à distance.</w:t>
      </w:r>
      <w:r>
        <w:rPr>
          <w:rFonts w:asciiTheme="minorHAnsi" w:hAnsiTheme="minorHAnsi" w:cstheme="minorHAnsi"/>
          <w:sz w:val="22"/>
          <w:szCs w:val="22"/>
        </w:rPr>
      </w:r>
    </w:p>
    <w:p w14:paraId="6D3CDC18" w14:textId="6CA45AAB">
      <w:pPr>
        <w:pBdr/>
        <w:spacing/>
        <w:ind/>
        <w:jc w:val="both"/>
        <w:rPr>
          <w:rFonts w:asciiTheme="minorHAnsi" w:hAnsiTheme="minorHAnsi" w:cstheme="minorBidi"/>
          <w:sz w:val="22"/>
          <w:szCs w:val="22"/>
        </w:rPr>
      </w:pPr>
      <w:r>
        <w:rPr>
          <w:rFonts w:asciiTheme="minorHAnsi" w:hAnsiTheme="minorHAnsi" w:cstheme="minorBidi"/>
          <w:sz w:val="22"/>
          <w:szCs w:val="22"/>
        </w:rPr>
        <w:t xml:space="preserve">Il est envisagé que ces présentations se tiennent par visioconférence dans </w:t>
      </w:r>
      <w:r>
        <w:rPr>
          <w:rFonts w:asciiTheme="minorHAnsi" w:hAnsiTheme="minorHAnsi" w:cstheme="minorBidi"/>
          <w:b/>
          <w:bCs/>
          <w:sz w:val="22"/>
          <w:szCs w:val="22"/>
          <w:u w:val="single"/>
        </w:rPr>
        <w:t xml:space="preserve">la semaine du 16 novembre 2026 et durent 45 minutes</w:t>
      </w:r>
      <w:r>
        <w:rPr>
          <w:rFonts w:asciiTheme="minorHAnsi" w:hAnsiTheme="minorHAnsi" w:cstheme="minorBidi"/>
          <w:sz w:val="22"/>
          <w:szCs w:val="22"/>
        </w:rPr>
        <w:t xml:space="preserve">.</w:t>
      </w:r>
      <w:r>
        <w:rPr>
          <w:rFonts w:asciiTheme="minorHAnsi" w:hAnsiTheme="minorHAnsi" w:cstheme="minorBidi"/>
          <w:sz w:val="22"/>
          <w:szCs w:val="22"/>
        </w:rPr>
      </w:r>
    </w:p>
    <w:p w14:paraId="52D47662"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Expertise France fournit pour cette présentation le vidéoprojecteur et une connexion internet.</w:t>
      </w:r>
      <w:r>
        <w:rPr>
          <w:rFonts w:asciiTheme="minorHAnsi" w:hAnsiTheme="minorHAnsi" w:cstheme="minorHAnsi"/>
          <w:sz w:val="22"/>
          <w:szCs w:val="22"/>
        </w:rPr>
      </w:r>
    </w:p>
    <w:p w14:paraId="3BCE7C92"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A la suite de la présentation, la séance comportera le cas échéant une phase de négociation sur tout ou partie de l’offre remise.</w:t>
      </w:r>
      <w:r>
        <w:rPr>
          <w:rFonts w:asciiTheme="minorHAnsi" w:hAnsiTheme="minorHAnsi" w:cstheme="minorHAnsi"/>
          <w:sz w:val="22"/>
          <w:szCs w:val="22"/>
        </w:rPr>
      </w:r>
    </w:p>
    <w:p w14:paraId="7B8DC740"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0921D6C4" w14:textId="77777777">
      <w:pPr>
        <w:pStyle w:val="1073"/>
        <w:pBdr/>
        <w:spacing w:after="120" w:before="120" w:line="240" w:lineRule="auto"/>
        <w:ind/>
        <w:jc w:val="both"/>
        <w:rPr>
          <w:rFonts w:asciiTheme="minorHAnsi" w:hAnsiTheme="minorHAnsi" w:cstheme="minorHAnsi"/>
          <w:caps/>
          <w:sz w:val="28"/>
          <w:szCs w:val="22"/>
          <w:u w:val="single"/>
        </w:rPr>
      </w:pPr>
      <w:r/>
      <w:bookmarkStart w:id="50" w:name="_Toc242880950"/>
      <w:r>
        <w:rPr>
          <w:rFonts w:asciiTheme="minorHAnsi" w:hAnsiTheme="minorHAnsi" w:cstheme="minorHAnsi"/>
          <w:sz w:val="22"/>
          <w:szCs w:val="22"/>
          <w:u w:val="single"/>
        </w:rPr>
        <w:t xml:space="preserve">Attribution</w:t>
      </w:r>
      <w:bookmarkEnd w:id="50"/>
      <w:r>
        <w:rPr>
          <w:rFonts w:asciiTheme="minorHAnsi" w:hAnsiTheme="minorHAnsi" w:cstheme="minorHAnsi"/>
          <w:b w:val="0"/>
          <w:caps/>
          <w:sz w:val="28"/>
          <w:szCs w:val="22"/>
          <w:u w:val="single"/>
        </w:rPr>
        <w:t xml:space="preserve"> </w:t>
      </w:r>
      <w:r>
        <w:rPr>
          <w:rFonts w:asciiTheme="minorHAnsi" w:hAnsiTheme="minorHAnsi" w:cstheme="minorHAnsi"/>
          <w:caps/>
          <w:sz w:val="28"/>
          <w:szCs w:val="22"/>
          <w:u w:val="single"/>
        </w:rPr>
      </w:r>
    </w:p>
    <w:p w14:paraId="7238E20F"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Une </w:t>
      </w:r>
      <w:r>
        <w:rPr>
          <w:rFonts w:asciiTheme="minorHAnsi" w:hAnsiTheme="minorHAnsi" w:cstheme="minorHAnsi"/>
          <w:b/>
          <w:sz w:val="22"/>
          <w:szCs w:val="22"/>
        </w:rPr>
        <w:t xml:space="preserve">note globale (NG sur un maximum de 100 points)</w:t>
      </w:r>
      <w:r>
        <w:rPr>
          <w:rFonts w:asciiTheme="minorHAnsi" w:hAnsiTheme="minorHAnsi" w:cstheme="minorHAnsi"/>
          <w:sz w:val="22"/>
          <w:szCs w:val="22"/>
        </w:rPr>
        <w:t xml:space="preserve"> obtenue par addition des notes technique et financière (</w:t>
      </w:r>
      <w:r>
        <w:rPr>
          <w:rFonts w:asciiTheme="minorHAnsi" w:hAnsiTheme="minorHAnsi" w:cstheme="minorHAnsi"/>
          <w:b/>
          <w:sz w:val="22"/>
          <w:szCs w:val="22"/>
        </w:rPr>
        <w:t xml:space="preserve">NG=NF+NT</w:t>
      </w:r>
      <w:r>
        <w:rPr>
          <w:rFonts w:asciiTheme="minorHAnsi" w:hAnsiTheme="minorHAnsi" w:cstheme="minorHAnsi"/>
          <w:sz w:val="22"/>
          <w:szCs w:val="22"/>
        </w:rPr>
        <w:t xml:space="preserve">) sera attribuée à chaque offre évaluée techniquement et financièrement.</w:t>
      </w:r>
      <w:r>
        <w:rPr>
          <w:rFonts w:asciiTheme="minorHAnsi" w:hAnsiTheme="minorHAnsi" w:cstheme="minorHAnsi"/>
          <w:sz w:val="22"/>
          <w:szCs w:val="22"/>
        </w:rPr>
      </w:r>
    </w:p>
    <w:p w14:paraId="0B4556E2"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t xml:space="preserve">Le(s) soumissionnaire(s) ayant obtenu la note globale la plus élevée sera (seront) considéré(s) comme ayant fourni l'offre économiquement la plus avantageuse et se verra (verront) attribuer le marché.</w:t>
      </w:r>
      <w:r>
        <w:rPr>
          <w:rFonts w:asciiTheme="minorHAnsi" w:hAnsiTheme="minorHAnsi" w:cstheme="minorHAnsi"/>
          <w:sz w:val="22"/>
          <w:szCs w:val="22"/>
        </w:rPr>
      </w:r>
    </w:p>
    <w:p w14:paraId="7E22D245" w14:textId="77777777">
      <w:pPr>
        <w:pBdr/>
        <w:spacing w:before="120" w:line="240" w:lineRule="auto"/>
        <w:ind/>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Le pouvoir adjudicateur peut ne pas donner suite à la consultation pour tout motif d'intérêt général.</w:t>
      </w:r>
      <w:r>
        <w:rPr>
          <w:rFonts w:asciiTheme="minorHAnsi" w:hAnsiTheme="minorHAnsi" w:cstheme="minorHAnsi"/>
          <w:color w:val="000000"/>
          <w:sz w:val="22"/>
          <w:szCs w:val="22"/>
        </w:rPr>
      </w:r>
    </w:p>
    <w:p w14:paraId="18E9ADC9" w14:textId="77777777">
      <w:pPr>
        <w:pStyle w:val="1265"/>
        <w:widowControl w:val="false"/>
        <w:numPr>
          <w:ilvl w:val="0"/>
          <w:numId w:val="6"/>
        </w:numPr>
        <w:pBdr/>
        <w:spacing w:after="120" w:before="240"/>
        <w:ind w:firstLine="0" w:left="0"/>
        <w:outlineLvl w:val="0"/>
        <w:rPr>
          <w:rFonts w:asciiTheme="minorHAnsi" w:hAnsiTheme="minorHAnsi" w:cstheme="minorHAnsi"/>
          <w:b/>
          <w:caps/>
          <w:sz w:val="28"/>
          <w:szCs w:val="22"/>
          <w:u w:val="single"/>
        </w:rPr>
      </w:pPr>
      <w:r/>
      <w:bookmarkStart w:id="51" w:name="_Toc242880951"/>
      <w:r>
        <w:rPr>
          <w:rFonts w:asciiTheme="minorHAnsi" w:hAnsiTheme="minorHAnsi" w:cstheme="minorHAnsi"/>
          <w:b/>
          <w:caps/>
          <w:sz w:val="28"/>
          <w:szCs w:val="22"/>
          <w:u w:val="single"/>
        </w:rPr>
        <w:t xml:space="preserve">Traitement des données à caractère personnel dans le cadre de la présente consultation et pour le suivi d’exécution du contrat</w:t>
      </w:r>
      <w:bookmarkEnd w:id="51"/>
      <w:r/>
      <w:r>
        <w:rPr>
          <w:rFonts w:asciiTheme="minorHAnsi" w:hAnsiTheme="minorHAnsi" w:cstheme="minorHAnsi"/>
          <w:b/>
          <w:caps/>
          <w:sz w:val="28"/>
          <w:szCs w:val="22"/>
          <w:u w:val="single"/>
        </w:rPr>
      </w:r>
    </w:p>
    <w:p w14:paraId="57BCB04A"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En application de l'article 13 du règlement (UE) 2016/679 du Parlement européen et du Conseil du 27 avril 2016 relatif à la protection des personnes physique</w:t>
      </w:r>
      <w:r>
        <w:rPr>
          <w:rFonts w:asciiTheme="minorHAnsi" w:hAnsiTheme="minorHAnsi" w:cstheme="minorHAnsi"/>
          <w:color w:val="auto"/>
          <w:sz w:val="22"/>
          <w:szCs w:val="22"/>
        </w:rPr>
        <w:t xml:space="preserve">s à l'égard du traitement des données à caractère personnel et à la libre circulation de ces données (RGPD), les candidats/soumissionnaires sont informés que des données à caractère personnel (notamment nom, prénom, adresse mail, données de connexion) coll</w:t>
      </w:r>
      <w:r>
        <w:rPr>
          <w:rFonts w:asciiTheme="minorHAnsi" w:hAnsiTheme="minorHAnsi" w:cstheme="minorHAnsi"/>
          <w:color w:val="auto"/>
          <w:sz w:val="22"/>
          <w:szCs w:val="22"/>
        </w:rPr>
        <w:t xml:space="preserve">ectées en utilisant les services de la Plateforme des Achats de l’Etat (https://www.marches-publics.gouv.fr) dans le cadre de la présente procédure de passation et dans le cadre de l'exécution du contrat sont susceptibles de faire l'objet de traitement(s).</w:t>
      </w:r>
      <w:r>
        <w:rPr>
          <w:rFonts w:asciiTheme="minorHAnsi" w:hAnsiTheme="minorHAnsi" w:cstheme="minorHAnsi"/>
          <w:color w:val="auto"/>
          <w:sz w:val="22"/>
          <w:szCs w:val="22"/>
        </w:rPr>
      </w:r>
    </w:p>
    <w:p w14:paraId="7CC3F087"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Po</w:t>
      </w:r>
      <w:r>
        <w:rPr>
          <w:rFonts w:asciiTheme="minorHAnsi" w:hAnsiTheme="minorHAnsi" w:cstheme="minorHAnsi"/>
          <w:color w:val="auto"/>
          <w:sz w:val="22"/>
          <w:szCs w:val="22"/>
        </w:rPr>
        <w:t xml:space="preserve">ur les traitements réalisés avec les services de la PLACE, le Ministère de l’action et des comptes publics – la Direction des Achats de l’Etat et Expertise France, autorité contractante, sont co-responsables du traitement des données à caractère personnel.</w:t>
      </w:r>
      <w:r>
        <w:rPr>
          <w:rFonts w:asciiTheme="minorHAnsi" w:hAnsiTheme="minorHAnsi" w:cstheme="minorHAnsi"/>
          <w:color w:val="auto"/>
          <w:sz w:val="22"/>
          <w:szCs w:val="22"/>
        </w:rPr>
      </w:r>
    </w:p>
    <w:p w14:paraId="03EF6F98"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Pour les traitements réalisés en dehors des services de la PLACE, Expertise France, autorité contractante, est responsable du traitement des données à caractère personnel.</w:t>
      </w:r>
      <w:r>
        <w:rPr>
          <w:rFonts w:asciiTheme="minorHAnsi" w:hAnsiTheme="minorHAnsi" w:cstheme="minorHAnsi"/>
          <w:color w:val="auto"/>
          <w:sz w:val="22"/>
          <w:szCs w:val="22"/>
        </w:rPr>
      </w:r>
    </w:p>
    <w:p w14:paraId="1398DA23" w14:textId="77777777">
      <w:pPr>
        <w:pStyle w:val="1073"/>
        <w:pBdr/>
        <w:spacing w:after="120" w:before="120" w:line="240" w:lineRule="auto"/>
        <w:ind/>
        <w:jc w:val="both"/>
        <w:rPr>
          <w:rFonts w:asciiTheme="minorHAnsi" w:hAnsiTheme="minorHAnsi" w:cstheme="minorHAnsi"/>
          <w:sz w:val="22"/>
          <w:szCs w:val="22"/>
          <w:u w:val="single"/>
        </w:rPr>
      </w:pPr>
      <w:r/>
      <w:bookmarkStart w:id="52" w:name="_Toc242880952"/>
      <w:r>
        <w:rPr>
          <w:rFonts w:asciiTheme="minorHAnsi" w:hAnsiTheme="minorHAnsi" w:cstheme="minorHAnsi"/>
          <w:sz w:val="22"/>
          <w:szCs w:val="22"/>
          <w:u w:val="single"/>
        </w:rPr>
        <w:t xml:space="preserve">Identité et coordonnées du responsable de traitement et de son représentant :</w:t>
      </w:r>
      <w:bookmarkEnd w:id="52"/>
      <w:r/>
      <w:r>
        <w:rPr>
          <w:rFonts w:asciiTheme="minorHAnsi" w:hAnsiTheme="minorHAnsi" w:cstheme="minorHAnsi"/>
          <w:sz w:val="22"/>
          <w:szCs w:val="22"/>
          <w:u w:val="single"/>
        </w:rPr>
      </w:r>
    </w:p>
    <w:p w14:paraId="69F521DE" w14:textId="77777777">
      <w:pPr>
        <w:pStyle w:val="1073"/>
        <w:pBdr/>
        <w:spacing w:after="120" w:before="120" w:line="240" w:lineRule="auto"/>
        <w:ind w:left="708"/>
        <w:jc w:val="both"/>
        <w:rPr>
          <w:rFonts w:asciiTheme="minorHAnsi" w:hAnsiTheme="minorHAnsi" w:cstheme="minorHAnsi"/>
          <w:sz w:val="22"/>
          <w:szCs w:val="22"/>
          <w:u w:val="single"/>
        </w:rPr>
      </w:pPr>
      <w:r/>
      <w:bookmarkStart w:id="53" w:name="_Toc242880953"/>
      <w:r>
        <w:rPr>
          <w:rFonts w:asciiTheme="minorHAnsi" w:hAnsiTheme="minorHAnsi" w:cstheme="minorHAnsi"/>
          <w:sz w:val="22"/>
          <w:szCs w:val="22"/>
          <w:u w:val="single"/>
        </w:rPr>
        <w:t xml:space="preserve">Pour la plateforme PLACE :</w:t>
      </w:r>
      <w:bookmarkEnd w:id="53"/>
      <w:r>
        <w:rPr>
          <w:rFonts w:asciiTheme="minorHAnsi" w:hAnsiTheme="minorHAnsi" w:cstheme="minorHAnsi"/>
          <w:sz w:val="22"/>
          <w:szCs w:val="22"/>
          <w:u w:val="single"/>
        </w:rPr>
        <w:t xml:space="preserve"> </w:t>
      </w:r>
      <w:r>
        <w:rPr>
          <w:rFonts w:asciiTheme="minorHAnsi" w:hAnsiTheme="minorHAnsi" w:cstheme="minorHAnsi"/>
          <w:sz w:val="22"/>
          <w:szCs w:val="22"/>
          <w:u w:val="single"/>
        </w:rPr>
      </w:r>
    </w:p>
    <w:p w14:paraId="7C21217A"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Ministère de l'action et des comptes publics</w:t>
      </w:r>
      <w:r>
        <w:rPr>
          <w:rFonts w:asciiTheme="minorHAnsi" w:hAnsiTheme="minorHAnsi" w:cstheme="minorHAnsi"/>
          <w:color w:val="auto"/>
          <w:sz w:val="22"/>
          <w:szCs w:val="22"/>
        </w:rPr>
      </w:r>
    </w:p>
    <w:p w14:paraId="1E0E51BD"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59, boulevard Vincent Auriol</w:t>
      </w:r>
      <w:r>
        <w:rPr>
          <w:rFonts w:asciiTheme="minorHAnsi" w:hAnsiTheme="minorHAnsi" w:cstheme="minorHAnsi"/>
          <w:color w:val="auto"/>
          <w:sz w:val="22"/>
          <w:szCs w:val="22"/>
        </w:rPr>
      </w:r>
    </w:p>
    <w:p w14:paraId="2662826C"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75703 Paris Cedex 13</w:t>
      </w:r>
      <w:r>
        <w:rPr>
          <w:rFonts w:asciiTheme="minorHAnsi" w:hAnsiTheme="minorHAnsi" w:cstheme="minorHAnsi"/>
          <w:color w:val="auto"/>
          <w:sz w:val="22"/>
          <w:szCs w:val="22"/>
        </w:rPr>
      </w:r>
    </w:p>
    <w:p w14:paraId="2C323D01"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Représentée par le Directeur des achats de l'Etat</w:t>
      </w:r>
      <w:r>
        <w:rPr>
          <w:rFonts w:asciiTheme="minorHAnsi" w:hAnsiTheme="minorHAnsi" w:cstheme="minorHAnsi"/>
          <w:color w:val="auto"/>
          <w:sz w:val="22"/>
          <w:szCs w:val="22"/>
        </w:rPr>
      </w:r>
    </w:p>
    <w:p w14:paraId="1E5B2C0D"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r>
        <w:rPr>
          <w:rFonts w:asciiTheme="minorHAnsi" w:hAnsiTheme="minorHAnsi" w:cstheme="minorHAnsi"/>
          <w:color w:val="auto"/>
          <w:sz w:val="22"/>
          <w:szCs w:val="22"/>
        </w:rPr>
      </w:r>
    </w:p>
    <w:p w14:paraId="2AB5BCA6"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Direction des achats de l’Etat représenté par son Directeur</w:t>
      </w:r>
      <w:r>
        <w:rPr>
          <w:rFonts w:asciiTheme="minorHAnsi" w:hAnsiTheme="minorHAnsi" w:cstheme="minorHAnsi"/>
          <w:color w:val="auto"/>
          <w:sz w:val="22"/>
          <w:szCs w:val="22"/>
        </w:rPr>
      </w:r>
    </w:p>
    <w:p w14:paraId="1913028D" w14:textId="77777777">
      <w:pPr>
        <w:pStyle w:val="1073"/>
        <w:pBdr/>
        <w:spacing w:after="120" w:before="120" w:line="240" w:lineRule="auto"/>
        <w:ind w:left="708"/>
        <w:jc w:val="both"/>
        <w:rPr>
          <w:rFonts w:asciiTheme="minorHAnsi" w:hAnsiTheme="minorHAnsi" w:cstheme="minorHAnsi"/>
          <w:sz w:val="22"/>
          <w:szCs w:val="22"/>
          <w:u w:val="single"/>
        </w:rPr>
      </w:pPr>
      <w:r/>
      <w:bookmarkStart w:id="54" w:name="_Toc242880954"/>
      <w:r>
        <w:rPr>
          <w:rFonts w:asciiTheme="minorHAnsi" w:hAnsiTheme="minorHAnsi" w:cstheme="minorHAnsi"/>
          <w:sz w:val="22"/>
          <w:szCs w:val="22"/>
          <w:u w:val="single"/>
        </w:rPr>
        <w:t xml:space="preserve">Coordonnées du délégué à la protection des données personnelles :</w:t>
      </w:r>
      <w:bookmarkEnd w:id="54"/>
      <w:r/>
      <w:r>
        <w:rPr>
          <w:rFonts w:asciiTheme="minorHAnsi" w:hAnsiTheme="minorHAnsi" w:cstheme="minorHAnsi"/>
          <w:sz w:val="22"/>
          <w:szCs w:val="22"/>
          <w:u w:val="single"/>
        </w:rPr>
      </w:r>
    </w:p>
    <w:p w14:paraId="09559153" w14:textId="77777777">
      <w:pPr>
        <w:pStyle w:val="1277"/>
        <w:pBdr/>
        <w:spacing w:before="120"/>
        <w:ind/>
        <w:jc w:val="both"/>
        <w:rPr>
          <w:rFonts w:asciiTheme="minorHAnsi" w:hAnsiTheme="minorHAnsi" w:cstheme="minorHAnsi"/>
          <w:color w:val="auto"/>
          <w:sz w:val="22"/>
          <w:szCs w:val="22"/>
        </w:rPr>
      </w:pPr>
      <w:r/>
      <w:hyperlink r:id="rId22" w:tooltip="mailto:le-delegue-a-la-protection-des-donnees-personnelles@finances.gouv.fr" w:history="1">
        <w:r>
          <w:rPr>
            <w:rFonts w:asciiTheme="minorHAnsi" w:hAnsiTheme="minorHAnsi" w:cstheme="minorHAnsi"/>
            <w:color w:val="auto"/>
            <w:sz w:val="22"/>
            <w:szCs w:val="22"/>
          </w:rPr>
          <w:t xml:space="preserve">le-delegue-a-la-protection-des-donnees-personnelles@finances.gouv.fr</w:t>
        </w:r>
      </w:hyperlink>
      <w:r/>
      <w:r>
        <w:rPr>
          <w:rFonts w:asciiTheme="minorHAnsi" w:hAnsiTheme="minorHAnsi" w:cstheme="minorHAnsi"/>
          <w:color w:val="auto"/>
          <w:sz w:val="22"/>
          <w:szCs w:val="22"/>
        </w:rPr>
      </w:r>
    </w:p>
    <w:p w14:paraId="32B4D62D"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p>
    <w:p w14:paraId="5E893897" w14:textId="77777777">
      <w:pPr>
        <w:pStyle w:val="1073"/>
        <w:pBdr/>
        <w:spacing w:after="120" w:before="120" w:line="240" w:lineRule="auto"/>
        <w:ind w:left="708"/>
        <w:jc w:val="both"/>
        <w:rPr>
          <w:rFonts w:asciiTheme="minorHAnsi" w:hAnsiTheme="minorHAnsi" w:cstheme="minorHAnsi"/>
          <w:sz w:val="22"/>
          <w:szCs w:val="22"/>
          <w:u w:val="single"/>
        </w:rPr>
      </w:pPr>
      <w:r/>
      <w:bookmarkStart w:id="55" w:name="_Toc242880955"/>
      <w:r>
        <w:rPr>
          <w:rFonts w:asciiTheme="minorHAnsi" w:hAnsiTheme="minorHAnsi" w:cstheme="minorHAnsi"/>
          <w:sz w:val="22"/>
          <w:szCs w:val="22"/>
          <w:u w:val="single"/>
        </w:rPr>
        <w:t xml:space="preserve">Pour l’autorité contractante :</w:t>
      </w:r>
      <w:bookmarkEnd w:id="55"/>
      <w:r>
        <w:rPr>
          <w:rFonts w:asciiTheme="minorHAnsi" w:hAnsiTheme="minorHAnsi" w:cstheme="minorHAnsi"/>
          <w:sz w:val="22"/>
          <w:szCs w:val="22"/>
          <w:u w:val="single"/>
        </w:rPr>
        <w:t xml:space="preserve"> </w:t>
      </w:r>
      <w:r>
        <w:rPr>
          <w:rFonts w:asciiTheme="minorHAnsi" w:hAnsiTheme="minorHAnsi" w:cstheme="minorHAnsi"/>
          <w:sz w:val="22"/>
          <w:szCs w:val="22"/>
          <w:u w:val="single"/>
        </w:rPr>
      </w:r>
    </w:p>
    <w:p w14:paraId="514CD431"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Expertise France</w:t>
      </w:r>
      <w:r>
        <w:rPr>
          <w:rFonts w:asciiTheme="minorHAnsi" w:hAnsiTheme="minorHAnsi" w:cstheme="minorHAnsi"/>
          <w:color w:val="auto"/>
          <w:sz w:val="22"/>
          <w:szCs w:val="22"/>
        </w:rPr>
      </w:r>
    </w:p>
    <w:p w14:paraId="0B7545C1"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40, Boulevard de Port Royal</w:t>
      </w:r>
      <w:r>
        <w:rPr>
          <w:rFonts w:asciiTheme="minorHAnsi" w:hAnsiTheme="minorHAnsi" w:cstheme="minorHAnsi"/>
          <w:color w:val="auto"/>
          <w:sz w:val="22"/>
          <w:szCs w:val="22"/>
        </w:rPr>
      </w:r>
    </w:p>
    <w:p w14:paraId="2D01AA72"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75005 Paris</w:t>
      </w:r>
      <w:r>
        <w:rPr>
          <w:rFonts w:asciiTheme="minorHAnsi" w:hAnsiTheme="minorHAnsi" w:cstheme="minorHAnsi"/>
          <w:color w:val="auto"/>
          <w:sz w:val="22"/>
          <w:szCs w:val="22"/>
        </w:rPr>
      </w:r>
    </w:p>
    <w:p w14:paraId="33F4AD22"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Représentée par son Directeur Général,</w:t>
      </w:r>
      <w:r>
        <w:rPr>
          <w:rFonts w:asciiTheme="minorHAnsi" w:hAnsiTheme="minorHAnsi" w:cstheme="minorHAnsi"/>
          <w:color w:val="auto"/>
          <w:sz w:val="22"/>
          <w:szCs w:val="22"/>
        </w:rPr>
      </w:r>
    </w:p>
    <w:p w14:paraId="4CA2C366"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Responsable de traitement opérationnel : </w:t>
      </w:r>
      <w:r>
        <w:rPr>
          <w:rFonts w:asciiTheme="minorHAnsi" w:hAnsiTheme="minorHAnsi" w:cstheme="minorHAnsi"/>
          <w:color w:val="auto"/>
          <w:sz w:val="22"/>
          <w:szCs w:val="22"/>
        </w:rPr>
      </w:r>
    </w:p>
    <w:p w14:paraId="1B2EF5ED"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Département des Systèmes d’Information représenté par son Directeur</w:t>
      </w:r>
      <w:r>
        <w:rPr>
          <w:rFonts w:asciiTheme="minorHAnsi" w:hAnsiTheme="minorHAnsi" w:cstheme="minorHAnsi"/>
          <w:color w:val="auto"/>
          <w:sz w:val="22"/>
          <w:szCs w:val="22"/>
        </w:rPr>
      </w:r>
    </w:p>
    <w:p w14:paraId="739D3EB7" w14:textId="77777777">
      <w:pPr>
        <w:pStyle w:val="1073"/>
        <w:pBdr/>
        <w:spacing w:after="120" w:before="120" w:line="240" w:lineRule="auto"/>
        <w:ind w:left="708"/>
        <w:jc w:val="both"/>
        <w:rPr>
          <w:rFonts w:asciiTheme="minorHAnsi" w:hAnsiTheme="minorHAnsi" w:cstheme="minorHAnsi"/>
          <w:sz w:val="22"/>
          <w:szCs w:val="22"/>
          <w:u w:val="single"/>
        </w:rPr>
      </w:pPr>
      <w:r/>
      <w:bookmarkStart w:id="56" w:name="_Toc242880956"/>
      <w:r>
        <w:rPr>
          <w:rFonts w:asciiTheme="minorHAnsi" w:hAnsiTheme="minorHAnsi" w:cstheme="minorHAnsi"/>
          <w:sz w:val="22"/>
          <w:szCs w:val="22"/>
          <w:u w:val="single"/>
        </w:rPr>
        <w:t xml:space="preserve">Coordonnées du délégué à la protection des données personnelles :</w:t>
      </w:r>
      <w:bookmarkEnd w:id="56"/>
      <w:r/>
      <w:r>
        <w:rPr>
          <w:rFonts w:asciiTheme="minorHAnsi" w:hAnsiTheme="minorHAnsi" w:cstheme="minorHAnsi"/>
          <w:sz w:val="22"/>
          <w:szCs w:val="22"/>
          <w:u w:val="single"/>
        </w:rPr>
      </w:r>
    </w:p>
    <w:p w14:paraId="727BE677" w14:textId="77777777">
      <w:pPr>
        <w:pStyle w:val="1277"/>
        <w:pBdr/>
        <w:spacing w:before="120"/>
        <w:ind/>
        <w:jc w:val="both"/>
        <w:rPr>
          <w:rFonts w:asciiTheme="minorHAnsi" w:hAnsiTheme="minorHAnsi" w:cstheme="minorHAnsi"/>
          <w:color w:val="auto"/>
          <w:sz w:val="22"/>
          <w:szCs w:val="22"/>
        </w:rPr>
      </w:pPr>
      <w:r/>
      <w:hyperlink r:id="rId23" w:tooltip="mailto:informatique.libertes@expertisefrance.fr" w:history="1">
        <w:r>
          <w:rPr>
            <w:rFonts w:asciiTheme="minorHAnsi" w:hAnsiTheme="minorHAnsi" w:cstheme="minorHAnsi"/>
            <w:color w:val="auto"/>
            <w:sz w:val="22"/>
            <w:szCs w:val="22"/>
          </w:rPr>
          <w:t xml:space="preserve">informatique.libertes@expertisefrance.fr</w:t>
        </w:r>
      </w:hyperlink>
      <w:r/>
      <w:r>
        <w:rPr>
          <w:rFonts w:asciiTheme="minorHAnsi" w:hAnsiTheme="minorHAnsi" w:cstheme="minorHAnsi"/>
          <w:color w:val="auto"/>
          <w:sz w:val="22"/>
          <w:szCs w:val="22"/>
        </w:rPr>
      </w:r>
    </w:p>
    <w:p w14:paraId="16456A54"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p>
    <w:p w14:paraId="000CDF2D"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fondements juridiques légitimant le ou les traitements correspondent aux c) et e) de l'article 6.1 du RGPD, à savoir que :</w:t>
      </w:r>
      <w:r>
        <w:rPr>
          <w:rFonts w:asciiTheme="minorHAnsi" w:hAnsiTheme="minorHAnsi" w:cstheme="minorHAnsi"/>
          <w:color w:val="auto"/>
          <w:sz w:val="22"/>
          <w:szCs w:val="22"/>
        </w:rPr>
      </w:r>
    </w:p>
    <w:p w14:paraId="08DA7FD7" w14:textId="77777777">
      <w:pPr>
        <w:pStyle w:val="1277"/>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traitement est nécessaire au respect d’une obligation légale à laquelle Expertise France est soumis ;</w:t>
      </w:r>
      <w:r>
        <w:rPr>
          <w:rFonts w:asciiTheme="minorHAnsi" w:hAnsiTheme="minorHAnsi" w:cstheme="minorHAnsi"/>
          <w:color w:val="auto"/>
          <w:sz w:val="22"/>
          <w:szCs w:val="22"/>
        </w:rPr>
      </w:r>
    </w:p>
    <w:p w14:paraId="41672151" w14:textId="77777777">
      <w:pPr>
        <w:pStyle w:val="1277"/>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 traitement est nécessaire à l’exécution d’une mission d’intérêt public ou relevant de l’exercice de l’autorité publique dont est investi Expertise France ;</w:t>
      </w:r>
      <w:r>
        <w:rPr>
          <w:rFonts w:asciiTheme="minorHAnsi" w:hAnsiTheme="minorHAnsi" w:cstheme="minorHAnsi"/>
          <w:color w:val="auto"/>
          <w:sz w:val="22"/>
          <w:szCs w:val="22"/>
        </w:rPr>
      </w:r>
    </w:p>
    <w:p w14:paraId="2C75E920"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finalités du ou des traitements sont : </w:t>
      </w:r>
      <w:r>
        <w:rPr>
          <w:rFonts w:asciiTheme="minorHAnsi" w:hAnsiTheme="minorHAnsi" w:cstheme="minorHAnsi"/>
          <w:color w:val="auto"/>
          <w:sz w:val="22"/>
          <w:szCs w:val="22"/>
        </w:rPr>
      </w:r>
    </w:p>
    <w:p w14:paraId="427D49F1" w14:textId="77777777">
      <w:pPr>
        <w:pStyle w:val="1277"/>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 présente procédure de passation, </w:t>
      </w:r>
      <w:r>
        <w:rPr>
          <w:rFonts w:asciiTheme="minorHAnsi" w:hAnsiTheme="minorHAnsi" w:cstheme="minorHAnsi"/>
          <w:color w:val="auto"/>
          <w:sz w:val="22"/>
          <w:szCs w:val="22"/>
        </w:rPr>
      </w:r>
    </w:p>
    <w:p w14:paraId="5B8A69CE" w14:textId="77777777">
      <w:pPr>
        <w:pStyle w:val="1277"/>
        <w:numPr>
          <w:ilvl w:val="0"/>
          <w:numId w:val="18"/>
        </w:numPr>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gestion et le suivi de l’attribution d’un marché public. </w:t>
      </w:r>
      <w:r>
        <w:rPr>
          <w:rFonts w:asciiTheme="minorHAnsi" w:hAnsiTheme="minorHAnsi" w:cstheme="minorHAnsi"/>
          <w:color w:val="auto"/>
          <w:sz w:val="22"/>
          <w:szCs w:val="22"/>
        </w:rPr>
      </w:r>
    </w:p>
    <w:p w14:paraId="6809FA12"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Les destinataires ou catégorie de destinataires des données à caractèr</w:t>
      </w:r>
      <w:r>
        <w:rPr>
          <w:rFonts w:asciiTheme="minorHAnsi" w:hAnsiTheme="minorHAnsi" w:cstheme="minorHAnsi"/>
          <w:color w:val="auto"/>
          <w:sz w:val="22"/>
          <w:szCs w:val="22"/>
        </w:rPr>
        <w:t xml:space="preserve">e personnel sont exclusivement les personnels habilités de l’autorité contractante, des ministères et des opérateurs de l'Etat, en charge de la passation et de l'exécution du présent contrat, ainsi que de leurs prestataires d’assistance dans ses activités.</w:t>
      </w:r>
      <w:r>
        <w:rPr>
          <w:rFonts w:asciiTheme="minorHAnsi" w:hAnsiTheme="minorHAnsi" w:cstheme="minorHAnsi"/>
          <w:color w:val="auto"/>
          <w:sz w:val="22"/>
          <w:szCs w:val="22"/>
        </w:rPr>
      </w:r>
    </w:p>
    <w:p w14:paraId="61CB7681"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Durée de conservation : ces données sont conservées pendant toute la durée de passation et d'exécution du contrat, ainsi que durant la DUA applicable au contrat.</w:t>
      </w:r>
      <w:r>
        <w:rPr>
          <w:rFonts w:asciiTheme="minorHAnsi" w:hAnsiTheme="minorHAnsi" w:cstheme="minorHAnsi"/>
          <w:color w:val="auto"/>
          <w:sz w:val="22"/>
          <w:szCs w:val="22"/>
        </w:rPr>
      </w:r>
    </w:p>
    <w:p w14:paraId="558E1744"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Conformément aux dispositions des articles 15 à 21 du RGPD, les</w:t>
      </w:r>
      <w:r>
        <w:rPr>
          <w:rFonts w:asciiTheme="minorHAnsi" w:hAnsiTheme="minorHAnsi" w:cstheme="minorHAnsi"/>
          <w:color w:val="auto"/>
          <w:sz w:val="22"/>
          <w:szCs w:val="22"/>
        </w:rPr>
        <w:t xml:space="preserve"> personnes dont les données à caractère personnel sont collectées disposent d'un droit d'accès, de rectification, et d'effacement à ces informations qui les concernent. Elles disposent également d’un droit à la limitation du traitement et d’opposition à ce</w:t>
      </w:r>
      <w:r>
        <w:rPr>
          <w:rFonts w:asciiTheme="minorHAnsi" w:hAnsiTheme="minorHAnsi" w:cstheme="minorHAnsi"/>
          <w:color w:val="auto"/>
          <w:sz w:val="22"/>
          <w:szCs w:val="22"/>
        </w:rPr>
        <w:t xml:space="preserve"> traitement pour des motifs légitimes. L'exercice des droits d'information et de tout autre exercice de droit des personnes concernées par les traitements mis en œuvre peuvent être effectués auprès du délégué à la protection des données d’Expertise France.</w:t>
      </w:r>
      <w:r>
        <w:rPr>
          <w:rFonts w:asciiTheme="minorHAnsi" w:hAnsiTheme="minorHAnsi" w:cstheme="minorHAnsi"/>
          <w:color w:val="auto"/>
          <w:sz w:val="22"/>
          <w:szCs w:val="22"/>
        </w:rPr>
      </w:r>
    </w:p>
    <w:p w14:paraId="471F74D4"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La personne dont les données à caractère personnel sont collectées dans le cadre de la présente procédure dispose d'un droit de réclamation auprès de la CNIL.</w:t>
      </w:r>
      <w:r>
        <w:rPr>
          <w:rFonts w:asciiTheme="minorHAnsi" w:hAnsiTheme="minorHAnsi" w:cstheme="minorHAnsi"/>
          <w:color w:val="auto"/>
          <w:sz w:val="22"/>
          <w:szCs w:val="22"/>
        </w:rPr>
      </w:r>
    </w:p>
    <w:p w14:paraId="1CD1BCCA" w14:textId="77777777">
      <w:pPr>
        <w:pBdr/>
        <w:spacing w:before="120" w:line="240" w:lineRule="auto"/>
        <w:ind/>
        <w:jc w:val="both"/>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p w14:paraId="354447B5"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57" w:name="_Toc242880957"/>
      <w:r>
        <w:rPr>
          <w:rFonts w:asciiTheme="minorHAnsi" w:hAnsiTheme="minorHAnsi" w:cstheme="minorHAnsi"/>
          <w:b/>
          <w:caps/>
          <w:sz w:val="28"/>
          <w:szCs w:val="22"/>
          <w:u w:val="single"/>
        </w:rPr>
        <w:t xml:space="preserve">AUTRES RENSEIGNEMENTS</w:t>
      </w:r>
      <w:bookmarkEnd w:id="57"/>
      <w:r/>
      <w:r>
        <w:rPr>
          <w:rFonts w:asciiTheme="minorHAnsi" w:hAnsiTheme="minorHAnsi" w:cstheme="minorHAnsi"/>
          <w:b/>
          <w:caps/>
          <w:sz w:val="28"/>
          <w:szCs w:val="22"/>
          <w:u w:val="single"/>
        </w:rPr>
      </w:r>
    </w:p>
    <w:p w14:paraId="177FB8AF"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6 jours ouvrés avant la date limite de remise des offres.</w:t>
      </w:r>
      <w:r>
        <w:rPr>
          <w:rFonts w:asciiTheme="minorHAnsi" w:hAnsiTheme="minorHAnsi" w:cstheme="minorHAnsi"/>
          <w:color w:val="auto"/>
          <w:sz w:val="22"/>
          <w:szCs w:val="22"/>
        </w:rPr>
      </w:r>
    </w:p>
    <w:p w14:paraId="19DCC175"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Expertise France s’engage à fournir une réponse au plus tard 2 jours ouvrés avant la date limite de remise des offres.</w:t>
      </w:r>
      <w:r>
        <w:rPr>
          <w:rFonts w:asciiTheme="minorHAnsi" w:hAnsiTheme="minorHAnsi" w:cstheme="minorHAnsi"/>
          <w:color w:val="auto"/>
          <w:sz w:val="22"/>
          <w:szCs w:val="22"/>
        </w:rPr>
      </w:r>
    </w:p>
    <w:p w14:paraId="44F65B9A"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Si une question est posée par un candidat, les candidats reçoivent un courriel les invitant à prendre connaissance d'un ou de plusieurs élément (s) en réponse à la question posée par un candidat.</w:t>
      </w:r>
      <w:r>
        <w:rPr>
          <w:rFonts w:asciiTheme="minorHAnsi" w:hAnsiTheme="minorHAnsi" w:cstheme="minorHAnsi"/>
          <w:color w:val="auto"/>
          <w:sz w:val="22"/>
          <w:szCs w:val="22"/>
        </w:rPr>
      </w:r>
    </w:p>
    <w:p w14:paraId="3A250254" w14:textId="77777777">
      <w:pPr>
        <w:pStyle w:val="1277"/>
        <w:pBdr/>
        <w:spacing w:before="120"/>
        <w:ind/>
        <w:jc w:val="both"/>
        <w:rPr>
          <w:rFonts w:asciiTheme="minorHAnsi" w:hAnsiTheme="minorHAnsi" w:cstheme="minorHAnsi"/>
          <w:color w:val="auto"/>
          <w:sz w:val="22"/>
          <w:szCs w:val="22"/>
        </w:rPr>
      </w:pPr>
      <w:r>
        <w:rPr>
          <w:rFonts w:asciiTheme="minorHAnsi" w:hAnsiTheme="minorHAnsi" w:cstheme="minorHAnsi"/>
          <w:color w:val="auto"/>
          <w:sz w:val="22"/>
          <w:szCs w:val="22"/>
        </w:rPr>
      </w:r>
      <w:r>
        <w:rPr>
          <w:rFonts w:asciiTheme="minorHAnsi" w:hAnsiTheme="minorHAnsi" w:cstheme="minorHAnsi"/>
          <w:color w:val="auto"/>
          <w:sz w:val="22"/>
          <w:szCs w:val="22"/>
        </w:rPr>
      </w:r>
    </w:p>
    <w:p w14:paraId="38D7331F" w14:textId="77777777">
      <w:pPr>
        <w:pStyle w:val="1265"/>
        <w:widowControl w:val="false"/>
        <w:numPr>
          <w:ilvl w:val="0"/>
          <w:numId w:val="6"/>
        </w:numPr>
        <w:pBdr/>
        <w:spacing w:after="120" w:before="240"/>
        <w:ind w:hanging="357" w:left="357"/>
        <w:outlineLvl w:val="0"/>
        <w:rPr>
          <w:rFonts w:asciiTheme="minorHAnsi" w:hAnsiTheme="minorHAnsi" w:cstheme="minorHAnsi"/>
          <w:b/>
          <w:caps/>
          <w:sz w:val="28"/>
          <w:szCs w:val="22"/>
          <w:u w:val="single"/>
        </w:rPr>
      </w:pPr>
      <w:r/>
      <w:bookmarkStart w:id="58" w:name="_Toc242880958"/>
      <w:r>
        <w:rPr>
          <w:rFonts w:asciiTheme="minorHAnsi" w:hAnsiTheme="minorHAnsi" w:cstheme="minorHAnsi"/>
          <w:b/>
          <w:caps/>
          <w:sz w:val="28"/>
          <w:szCs w:val="22"/>
          <w:u w:val="single"/>
        </w:rPr>
        <w:t xml:space="preserve">Voies et délais de recours</w:t>
      </w:r>
      <w:bookmarkEnd w:id="58"/>
      <w:r/>
      <w:r>
        <w:rPr>
          <w:rFonts w:asciiTheme="minorHAnsi" w:hAnsiTheme="minorHAnsi" w:cstheme="minorHAnsi"/>
          <w:b/>
          <w:caps/>
          <w:sz w:val="28"/>
          <w:szCs w:val="22"/>
          <w:u w:val="single"/>
        </w:rPr>
      </w:r>
    </w:p>
    <w:p w14:paraId="32D1079A" w14:textId="77777777">
      <w:pPr>
        <w:pStyle w:val="1279"/>
        <w:pBdr/>
        <w:spacing w:after="0" w:before="0" w:line="276" w:lineRule="auto"/>
        <w:ind/>
        <w:rPr>
          <w:rFonts w:asciiTheme="minorHAnsi" w:hAnsiTheme="minorHAnsi" w:cstheme="minorHAnsi"/>
          <w:sz w:val="22"/>
        </w:rPr>
      </w:pPr>
      <w:r>
        <w:rPr>
          <w:rFonts w:asciiTheme="minorHAnsi" w:hAnsiTheme="minorHAnsi" w:cstheme="minorHAnsi"/>
          <w:sz w:val="22"/>
          <w:szCs w:val="22"/>
        </w:rPr>
        <w:t xml:space="preserve">L'instance chargée des procédures de recours est le Tribunal judiciaire de Paris, </w:t>
      </w:r>
      <w:r>
        <w:rPr>
          <w:rFonts w:asciiTheme="minorHAnsi" w:hAnsiTheme="minorHAnsi" w:cstheme="minorHAnsi"/>
          <w:sz w:val="22"/>
        </w:rPr>
        <w:t xml:space="preserve">Parvis du Tribunal de Paris 75 859 PARIS Cedex 17 </w:t>
      </w:r>
      <w:r>
        <w:rPr>
          <w:rFonts w:asciiTheme="minorHAnsi" w:hAnsiTheme="minorHAnsi" w:cstheme="minorHAnsi"/>
          <w:sz w:val="22"/>
          <w:szCs w:val="22"/>
        </w:rPr>
        <w:t xml:space="preserve">; e-mail : </w:t>
      </w:r>
      <w:hyperlink r:id="rId24" w:tooltip="mailto:tj-paris@justice.fr" w:history="1">
        <w:r>
          <w:rPr>
            <w:rStyle w:val="1260"/>
            <w:rFonts w:asciiTheme="minorHAnsi" w:hAnsiTheme="minorHAnsi" w:cstheme="minorHAnsi"/>
            <w:sz w:val="22"/>
          </w:rPr>
          <w:t xml:space="preserve">tj-paris@justice.fr</w:t>
        </w:r>
      </w:hyperlink>
      <w:r>
        <w:rPr>
          <w:rFonts w:asciiTheme="minorHAnsi" w:hAnsiTheme="minorHAnsi" w:cstheme="minorHAnsi"/>
          <w:sz w:val="22"/>
        </w:rPr>
        <w:t xml:space="preserve">.</w:t>
      </w:r>
      <w:r>
        <w:rPr>
          <w:rFonts w:asciiTheme="minorHAnsi" w:hAnsiTheme="minorHAnsi" w:cstheme="minorHAnsi"/>
          <w:sz w:val="22"/>
        </w:rPr>
      </w:r>
    </w:p>
    <w:p w14:paraId="181D6289" w14:textId="77777777">
      <w:pPr>
        <w:pBdr/>
        <w:spacing/>
        <w:ind/>
        <w:jc w:val="both"/>
        <w:rPr>
          <w:rFonts w:asciiTheme="minorHAnsi" w:hAnsiTheme="minorHAnsi" w:cstheme="minorHAnsi"/>
          <w:sz w:val="22"/>
          <w:szCs w:val="22"/>
        </w:rPr>
      </w:pPr>
      <w:r>
        <w:rPr>
          <w:rFonts w:asciiTheme="minorHAnsi" w:hAnsiTheme="minorHAnsi" w:cstheme="minorHAnsi"/>
          <w:sz w:val="22"/>
          <w:szCs w:val="22"/>
        </w:rPr>
        <w:t xml:space="preserve">Des renseignements sur l'introduction des recours peuvent être obtenus auprès du Greffe du Tribunal judiciaire de Paris ; e-mail : </w:t>
      </w:r>
      <w:hyperlink r:id="rId25" w:tooltip="mailto:tj-paris@justice.fr" w:history="1">
        <w:r>
          <w:rPr>
            <w:rStyle w:val="1260"/>
            <w:rFonts w:asciiTheme="minorHAnsi" w:hAnsiTheme="minorHAnsi" w:cstheme="minorHAnsi"/>
            <w:sz w:val="22"/>
          </w:rPr>
          <w:t xml:space="preserve">tj-paris@justice.fr</w:t>
        </w:r>
      </w:hyperlink>
      <w:r>
        <w:rPr>
          <w:rFonts w:asciiTheme="minorHAnsi" w:hAnsiTheme="minorHAnsi" w:cstheme="minorHAnsi"/>
          <w:sz w:val="22"/>
        </w:rPr>
        <w:t xml:space="preserve">.</w:t>
      </w:r>
      <w:r>
        <w:rPr>
          <w:rFonts w:asciiTheme="minorHAnsi" w:hAnsiTheme="minorHAnsi" w:cstheme="minorHAnsi"/>
          <w:sz w:val="22"/>
          <w:szCs w:val="22"/>
        </w:rPr>
      </w:r>
    </w:p>
    <w:p w14:paraId="3A59CF1A" w14:textId="77777777">
      <w:pPr>
        <w:pBdr/>
        <w:spacing/>
        <w:ind/>
        <w:rPr>
          <w:rFonts w:asciiTheme="minorHAnsi" w:hAnsiTheme="minorHAnsi" w:cstheme="minorHAnsi"/>
          <w:sz w:val="22"/>
          <w:szCs w:val="22"/>
        </w:rPr>
      </w:pPr>
      <w:r>
        <w:rPr>
          <w:rFonts w:asciiTheme="minorHAnsi" w:hAnsiTheme="minorHAnsi" w:cstheme="minorHAnsi"/>
          <w:sz w:val="22"/>
          <w:szCs w:val="22"/>
        </w:rPr>
      </w:r>
      <w:r>
        <w:rPr>
          <w:rFonts w:asciiTheme="minorHAnsi" w:hAnsiTheme="minorHAnsi" w:cstheme="minorHAnsi"/>
          <w:sz w:val="22"/>
          <w:szCs w:val="22"/>
        </w:rPr>
      </w:r>
    </w:p>
    <w:sectPr>
      <w:headerReference w:type="default" r:id="rId12"/>
      <w:headerReference w:type="first" r:id="rId13"/>
      <w:footerReference w:type="default" r:id="rId17"/>
      <w:footerReference w:type="even" r:id="rId18"/>
      <w:footerReference w:type="first" r:id="rId19"/>
      <w:footnotePr/>
      <w:endnotePr/>
      <w:type w:val="nextPage"/>
      <w:pgSz w:h="16838" w:orient="portrait" w:w="11906"/>
      <w:pgMar w:top="845" w:right="1009" w:bottom="142" w:left="1151" w:header="431" w:footer="385"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496CD01A" w14:textId="77777777">
      <w:pPr>
        <w:pBdr/>
        <w:spacing/>
        <w:ind/>
        <w:rPr/>
      </w:pPr>
      <w:r>
        <w:separator/>
      </w:r>
      <w:r/>
    </w:p>
  </w:endnote>
  <w:endnote w:type="continuationSeparator" w:id="0">
    <w:p w14:paraId="18587743"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dale Sans UI">
    <w:panose1 w:val="02020702060506020403"/>
  </w:font>
  <w:font w:name="Symbol">
    <w:panose1 w:val="05010000000000000000"/>
  </w:font>
  <w:font w:name="Courier New">
    <w:panose1 w:val="02070309020205020404"/>
  </w:font>
  <w:font w:name="Wingdings">
    <w:panose1 w:val="05000000000000000000"/>
  </w:font>
  <w:font w:name="Calibri">
    <w:panose1 w:val="020F0502020204030204"/>
  </w:font>
  <w:font w:name="MS Mincho">
    <w:panose1 w:val="02020603050405090304"/>
  </w:font>
  <w:font w:name="Tahoma">
    <w:panose1 w:val="020B0604030504040204"/>
  </w:font>
  <w:font w:name="SimSun">
    <w:panose1 w:val="02020603020101020101"/>
  </w:font>
  <w:font w:name="Helvetica">
    <w:panose1 w:val="020B0604020202020204"/>
  </w:font>
  <w:font w:name="Arial Unicode MS">
    <w:panose1 w:val="020B0604020202020204"/>
  </w:font>
  <w:font w:name="Arial">
    <w:panose1 w:val="020B0604020202020204"/>
  </w:font>
  <w:font w:name="Times New Roman">
    <w:panose1 w:val="02020603050405020304"/>
  </w:font>
  <w:font w:name="Garamond">
    <w:panose1 w:val="02020603050405020304"/>
  </w:font>
  <w:font w:name="Times">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C889551" w14:textId="77777777">
    <w:pPr>
      <w:pStyle w:val="1259"/>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p>
  <w:p w14:paraId="3ED5004B" w14:textId="77777777">
    <w:pPr>
      <w:pStyle w:val="1259"/>
      <w:pBdr/>
      <w:tabs>
        <w:tab w:val="clear" w:leader="none" w:pos="4536"/>
        <w:tab w:val="clear" w:leader="none" w:pos="9072"/>
        <w:tab w:val="right" w:leader="none" w:pos="9746"/>
      </w:tabs>
      <w:spacing/>
      <w:ind/>
      <w:jc w:val="right"/>
      <w:rPr>
        <w:rFonts w:asciiTheme="minorHAnsi" w:hAnsiTheme="minorHAnsi"/>
        <w:sz w:val="22"/>
        <w:szCs w:val="22"/>
      </w:rPr>
    </w:pPr>
    <w:r/>
    <w:sdt>
      <w:sdtPr>
        <w15:appearance w15:val="boundingBox"/>
        <w:id w:val="-279648002"/>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3</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16</w:t>
        </w:r>
        <w:r>
          <w:rPr>
            <w:rFonts w:asciiTheme="minorHAnsi" w:hAnsiTheme="minorHAnsi"/>
            <w:b/>
            <w:bCs/>
            <w:sz w:val="22"/>
            <w:szCs w:val="22"/>
          </w:rPr>
          <w:fldChar w:fldCharType="end"/>
        </w:r>
      </w:sdtContent>
    </w:sdt>
    <w:r/>
    <w:r>
      <w:rPr>
        <w:rFonts w:asciiTheme="minorHAnsi" w:hAnsiTheme="minorHAnsi"/>
        <w:sz w:val="22"/>
        <w:szCs w:val="22"/>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A1AB80F" w14:textId="77777777">
    <w:pPr>
      <w:pStyle w:val="1259"/>
      <w:framePr w:hAnchor="margin" w:vAnchor="text" w:wrap="around" w:xAlign="right" w:y="1"/>
      <w:pBdr/>
      <w:spacing/>
      <w:ind/>
      <w:rPr>
        <w:rStyle w:val="1269"/>
      </w:rPr>
    </w:pPr>
    <w:r>
      <w:rPr>
        <w:rStyle w:val="1269"/>
      </w:rPr>
      <w:fldChar w:fldCharType="begin"/>
    </w:r>
    <w:r>
      <w:rPr>
        <w:rStyle w:val="1269"/>
      </w:rPr>
      <w:instrText xml:space="preserve">PAGE  </w:instrText>
    </w:r>
    <w:r>
      <w:rPr>
        <w:rStyle w:val="1269"/>
      </w:rPr>
      <w:fldChar w:fldCharType="separate"/>
    </w:r>
    <w:r>
      <w:rPr>
        <w:rStyle w:val="1269"/>
      </w:rPr>
      <w:t xml:space="preserve">6</w:t>
    </w:r>
    <w:r>
      <w:rPr>
        <w:rStyle w:val="1269"/>
      </w:rPr>
      <w:fldChar w:fldCharType="end"/>
    </w:r>
    <w:r>
      <w:rPr>
        <w:rStyle w:val="1269"/>
      </w:rPr>
    </w:r>
  </w:p>
  <w:p w14:paraId="3E13C741" w14:textId="77777777">
    <w:pPr>
      <w:pStyle w:val="1259"/>
      <w:pBdr/>
      <w:spacing/>
      <w:ind w:right="360"/>
      <w:rPr>
        <w:lang w:val="nl-NL"/>
      </w:rPr>
    </w:pPr>
    <w:r>
      <w:rPr>
        <w:lang w:val="nl-NL"/>
      </w:rPr>
    </w:r>
    <w:r>
      <w:rPr>
        <w:lang w:val="nl-NL"/>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8570764"/>
      <w:docPartObj>
        <w:docPartGallery w:val="Page Numbers (Bottom of Page)"/>
        <w:docPartUnique w:val="true"/>
      </w:docPartObj>
      <w:rPr>
        <w:rFonts w:asciiTheme="minorHAnsi" w:hAnsiTheme="minorHAnsi" w:cstheme="minorBidi"/>
        <w:sz w:val="22"/>
        <w:szCs w:val="22"/>
      </w:rPr>
    </w:sdtPr>
    <w:sdtContent>
      <w:sdt>
        <w:sdtPr>
          <w15:appearance w15:val="boundingBox"/>
          <w:id w:val="21838982"/>
          <w:docPartObj>
            <w:docPartGallery w:val="Page Numbers (Top of Page)"/>
            <w:docPartUnique w:val="true"/>
          </w:docPartObj>
          <w:rPr>
            <w:rFonts w:asciiTheme="minorHAnsi" w:hAnsiTheme="minorHAnsi" w:cstheme="minorBidi"/>
            <w:sz w:val="22"/>
            <w:szCs w:val="22"/>
          </w:rPr>
        </w:sdtPr>
        <w:sdtContent>
          <w:p w14:paraId="41525F62" w14:textId="77777777">
            <w:pPr>
              <w:pStyle w:val="1259"/>
              <w:pBdr/>
              <w:tabs>
                <w:tab w:val="clear" w:leader="none" w:pos="4536"/>
                <w:tab w:val="clear" w:leader="none" w:pos="9072"/>
                <w:tab w:val="right" w:leader="none" w:pos="9746"/>
              </w:tabs>
              <w:spacing/>
              <w:ind/>
              <w:jc w:val="both"/>
              <w:rPr>
                <w:rFonts w:asciiTheme="minorHAnsi" w:hAnsiTheme="minorHAnsi" w:cstheme="minorHAnsi"/>
                <w:u w:val="single"/>
              </w:rPr>
            </w:pPr>
            <w:r>
              <w:rPr>
                <w:rFonts w:asciiTheme="minorHAnsi" w:hAnsiTheme="minorHAnsi" w:cstheme="minorHAnsi"/>
                <w:u w:val="single"/>
              </w:rPr>
              <w:tab/>
            </w:r>
            <w:r>
              <w:rPr>
                <w:rFonts w:asciiTheme="minorHAnsi" w:hAnsiTheme="minorHAnsi" w:cstheme="minorHAnsi"/>
                <w:u w:val="single"/>
              </w:rPr>
            </w:r>
          </w:p>
          <w:p w14:paraId="1021FF1B" w14:textId="77777777">
            <w:pPr>
              <w:pStyle w:val="1259"/>
              <w:pBdr/>
              <w:tabs>
                <w:tab w:val="clear" w:leader="none" w:pos="4536"/>
                <w:tab w:val="clear" w:leader="none" w:pos="9072"/>
                <w:tab w:val="right" w:leader="none" w:pos="9746"/>
              </w:tabs>
              <w:spacing/>
              <w:ind/>
              <w:jc w:val="right"/>
              <w:rPr>
                <w:rFonts w:asciiTheme="minorHAnsi" w:hAnsiTheme="minorHAnsi" w:cstheme="minorHAnsi"/>
                <w:sz w:val="22"/>
                <w:szCs w:val="22"/>
              </w:rPr>
            </w:pPr>
            <w:r/>
            <w:sdt>
              <w:sdtPr>
                <w15:appearance w15:val="boundingBox"/>
                <w:id w:val="540024111"/>
                <w:docPartObj>
                  <w:docPartGallery w:val="Page Numbers (Top of Page)"/>
                  <w:docPartUnique w:val="true"/>
                </w:docPartObj>
                <w:rPr>
                  <w:rFonts w:asciiTheme="minorHAnsi" w:hAnsiTheme="minorHAnsi" w:cstheme="minorHAnsi"/>
                  <w:sz w:val="22"/>
                  <w:szCs w:val="22"/>
                </w:rPr>
              </w:sdtPr>
              <w:sdtContent>
                <w:r>
                  <w:rPr>
                    <w:rFonts w:asciiTheme="minorHAnsi" w:hAnsiTheme="minorHAnsi" w:cstheme="minorHAnsi"/>
                    <w:sz w:val="22"/>
                    <w:szCs w:val="22"/>
                  </w:rPr>
                  <w:t xml:space="preserve">DAJ_M009_v08</w:t>
                </w:r>
                <w:r>
                  <w:rPr>
                    <w:rFonts w:asciiTheme="minorHAnsi" w:hAnsiTheme="minorHAnsi" w:cstheme="minorHAnsi"/>
                    <w:sz w:val="22"/>
                    <w:szCs w:val="22"/>
                  </w:rPr>
                  <w:tab/>
                </w:r>
              </w:sdtContent>
            </w:sdt>
            <w:r/>
            <w:r>
              <w:rPr>
                <w:rFonts w:asciiTheme="minorHAnsi" w:hAnsiTheme="minorHAnsi" w:cstheme="minorHAnsi"/>
                <w:sz w:val="22"/>
                <w:szCs w:val="22"/>
              </w:rPr>
            </w:r>
          </w:p>
          <w:p w14:paraId="034473BF" w14:textId="77777777">
            <w:pPr>
              <w:pStyle w:val="1259"/>
              <w:pBdr/>
              <w:spacing w:line="240" w:lineRule="exact"/>
              <w:ind/>
              <w:rPr>
                <w:rFonts w:asciiTheme="minorHAnsi" w:hAnsiTheme="minorHAnsi" w:cstheme="minorHAnsi"/>
                <w:b/>
                <w:sz w:val="22"/>
                <w:szCs w:val="22"/>
              </w:rPr>
            </w:pPr>
            <w:r>
              <w:rPr>
                <w:rFonts w:asciiTheme="minorHAnsi" w:hAnsiTheme="minorHAnsi" w:cstheme="minorHAnsi"/>
                <w:b/>
                <w:sz w:val="22"/>
                <w:szCs w:val="22"/>
              </w:rPr>
              <w:t xml:space="preserve">Mai 2026</w:t>
            </w:r>
            <w:r>
              <w:rPr>
                <w:rFonts w:asciiTheme="minorHAnsi" w:hAnsiTheme="minorHAnsi" w:cstheme="minorHAnsi"/>
                <w:b/>
                <w:sz w:val="22"/>
                <w:szCs w:val="22"/>
              </w:rPr>
            </w:r>
          </w:p>
          <w:p w14:paraId="74191E0E" w14:textId="77777777">
            <w:pPr>
              <w:pStyle w:val="1259"/>
              <w:pBdr/>
              <w:spacing w:line="240" w:lineRule="exact"/>
              <w:ind/>
              <w:rPr>
                <w:rFonts w:asciiTheme="minorHAnsi" w:hAnsiTheme="minorHAnsi" w:cstheme="minorHAnsi"/>
                <w:b/>
                <w:sz w:val="22"/>
                <w:szCs w:val="22"/>
              </w:rPr>
            </w:pPr>
            <w:r>
              <w:rPr>
                <w:rFonts w:asciiTheme="minorHAnsi" w:hAnsiTheme="minorHAnsi" w:cstheme="minorHAnsi"/>
                <w:b/>
                <w:sz w:val="22"/>
                <w:szCs w:val="22"/>
              </w:rPr>
            </w:r>
            <w:r>
              <w:rPr>
                <w:rFonts w:asciiTheme="minorHAnsi" w:hAnsiTheme="minorHAnsi" w:cstheme="minorHAnsi"/>
                <w:b/>
                <w:sz w:val="22"/>
                <w:szCs w:val="22"/>
              </w:rPr>
            </w:r>
          </w:p>
          <w:p w14:paraId="02A2FDB9" w14:textId="77777777">
            <w:pPr>
              <w:pStyle w:val="1259"/>
              <w:pBdr/>
              <w:tabs>
                <w:tab w:val="clear" w:leader="none" w:pos="4536"/>
                <w:tab w:val="clear" w:leader="none" w:pos="9072"/>
                <w:tab w:val="right" w:leader="none" w:pos="9746"/>
              </w:tabs>
              <w:spacing w:line="240" w:lineRule="auto"/>
              <w:ind/>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 xml:space="preserve">SIRET : 808 734 792 00035</w:t>
            </w:r>
            <w:r>
              <w:rPr>
                <w:rFonts w:asciiTheme="minorHAnsi" w:hAnsiTheme="minorHAnsi" w:cstheme="minorHAnsi"/>
                <w:sz w:val="22"/>
                <w:szCs w:val="22"/>
              </w:rP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68D30F3" w14:textId="77777777">
    <w:pPr>
      <w:pStyle w:val="1259"/>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p>
  <w:p w14:paraId="219BCEB8" w14:textId="77777777">
    <w:pPr>
      <w:pStyle w:val="1259"/>
      <w:pBdr/>
      <w:tabs>
        <w:tab w:val="clear" w:leader="none" w:pos="4536"/>
        <w:tab w:val="clear" w:leader="none" w:pos="9072"/>
        <w:tab w:val="right" w:leader="none" w:pos="9746"/>
      </w:tabs>
      <w:spacing/>
      <w:ind/>
      <w:jc w:val="both"/>
      <w:rPr>
        <w:rFonts w:asciiTheme="minorHAnsi" w:hAnsiTheme="minorHAnsi"/>
        <w:szCs w:val="22"/>
      </w:rPr>
    </w:pPr>
    <w:r/>
    <w:sdt>
      <w:sdtPr>
        <w15:appearance w15:val="boundingBox"/>
        <w:id w:val="-624537547"/>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16</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16</w:t>
        </w:r>
        <w:r>
          <w:rPr>
            <w:rFonts w:asciiTheme="minorHAnsi" w:hAnsiTheme="minorHAnsi"/>
            <w:b/>
            <w:bCs/>
            <w:sz w:val="22"/>
            <w:szCs w:val="22"/>
          </w:rPr>
          <w:fldChar w:fldCharType="end"/>
        </w:r>
      </w:sdtContent>
    </w:sdt>
    <w:r/>
    <w:r>
      <w:rPr>
        <w:rFonts w:asciiTheme="minorHAnsi" w:hAnsiTheme="minorHAnsi"/>
        <w:szCs w:val="22"/>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D7500A9" w14:textId="77777777">
    <w:pPr>
      <w:pStyle w:val="1259"/>
      <w:pBdr/>
      <w:spacing/>
      <w:ind w:right="360"/>
      <w:rPr>
        <w:lang w:val="nl-NL"/>
      </w:rPr>
    </w:pPr>
    <w:r>
      <w:rPr>
        <w:lang w:val="nl-NL"/>
      </w:rPr>
    </w:r>
    <w:r>
      <w:rPr>
        <w:lang w:val="nl-NL"/>
      </w:r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7230371"/>
      <w:docPartObj>
        <w:docPartGallery w:val="Page Numbers (Bottom of Page)"/>
        <w:docPartUnique w:val="true"/>
      </w:docPartObj>
      <w:rPr>
        <w:rFonts w:asciiTheme="minorHAnsi" w:hAnsiTheme="minorHAnsi" w:cstheme="minorBidi"/>
        <w:sz w:val="22"/>
        <w:szCs w:val="22"/>
      </w:rPr>
    </w:sdtPr>
    <w:sdtContent>
      <w:sdt>
        <w:sdtPr>
          <w15:appearance w15:val="boundingBox"/>
          <w:id w:val="-2024234557"/>
          <w:docPartObj>
            <w:docPartGallery w:val="Page Numbers (Top of Page)"/>
            <w:docPartUnique w:val="true"/>
          </w:docPartObj>
          <w:rPr>
            <w:rFonts w:asciiTheme="minorHAnsi" w:hAnsiTheme="minorHAnsi" w:cstheme="minorBidi"/>
            <w:sz w:val="22"/>
            <w:szCs w:val="22"/>
          </w:rPr>
        </w:sdtPr>
        <w:sdtContent>
          <w:p w14:paraId="37275BF8" w14:textId="77777777">
            <w:pPr>
              <w:pStyle w:val="1259"/>
              <w:pBdr/>
              <w:tabs>
                <w:tab w:val="clear" w:leader="none" w:pos="4536"/>
                <w:tab w:val="clear" w:leader="none" w:pos="9072"/>
                <w:tab w:val="right" w:leader="none" w:pos="9746"/>
              </w:tabs>
              <w:spacing/>
              <w:ind/>
              <w:jc w:val="both"/>
              <w:rPr>
                <w:rFonts w:asciiTheme="minorHAnsi" w:hAnsiTheme="minorHAnsi"/>
                <w:u w:val="single"/>
              </w:rPr>
            </w:pPr>
            <w:r>
              <w:rPr>
                <w:rFonts w:asciiTheme="minorHAnsi" w:hAnsiTheme="minorHAnsi"/>
                <w:u w:val="single"/>
              </w:rPr>
              <w:tab/>
            </w:r>
            <w:r>
              <w:rPr>
                <w:rFonts w:asciiTheme="minorHAnsi" w:hAnsiTheme="minorHAnsi"/>
                <w:u w:val="single"/>
              </w:rPr>
            </w:r>
          </w:p>
          <w:p w14:paraId="7C000465" w14:textId="77777777">
            <w:pPr>
              <w:pStyle w:val="1259"/>
              <w:pBdr/>
              <w:tabs>
                <w:tab w:val="clear" w:leader="none" w:pos="4536"/>
                <w:tab w:val="clear" w:leader="none" w:pos="9072"/>
                <w:tab w:val="right" w:leader="none" w:pos="9746"/>
              </w:tabs>
              <w:spacing/>
              <w:ind/>
              <w:jc w:val="both"/>
              <w:rPr>
                <w:rFonts w:asciiTheme="minorHAnsi" w:hAnsiTheme="minorHAnsi" w:cstheme="minorHAnsi"/>
                <w:sz w:val="22"/>
                <w:szCs w:val="22"/>
              </w:rPr>
            </w:pPr>
            <w:r/>
            <w:sdt>
              <w:sdtPr>
                <w15:appearance w15:val="boundingBox"/>
                <w:id w:val="-955870126"/>
                <w:docPartObj>
                  <w:docPartGallery w:val="Page Numbers (Top of Page)"/>
                  <w:docPartUnique w:val="true"/>
                </w:docPartObj>
                <w:rPr>
                  <w:rFonts w:asciiTheme="minorHAnsi" w:hAnsiTheme="minorHAnsi"/>
                  <w:sz w:val="22"/>
                  <w:szCs w:val="22"/>
                </w:rPr>
              </w:sdtPr>
              <w:sdtContent>
                <w:r>
                  <w:rPr>
                    <w:rFonts w:asciiTheme="minorHAnsi" w:hAnsiTheme="minorHAnsi"/>
                    <w:sz w:val="22"/>
                    <w:szCs w:val="22"/>
                  </w:rPr>
                  <w:tab/>
                  <w:t xml:space="preserve">Page </w:t>
                </w:r>
                <w:r>
                  <w:rPr>
                    <w:rFonts w:asciiTheme="minorHAnsi" w:hAnsiTheme="minorHAnsi"/>
                    <w:b/>
                    <w:bCs/>
                    <w:sz w:val="22"/>
                    <w:szCs w:val="22"/>
                  </w:rPr>
                  <w:fldChar w:fldCharType="begin"/>
                </w:r>
                <w:r>
                  <w:rPr>
                    <w:rFonts w:asciiTheme="minorHAnsi" w:hAnsiTheme="minorHAnsi"/>
                    <w:b/>
                    <w:bCs/>
                    <w:sz w:val="22"/>
                    <w:szCs w:val="22"/>
                  </w:rPr>
                  <w:instrText xml:space="preserve">PAGE</w:instrText>
                </w:r>
                <w:r>
                  <w:rPr>
                    <w:rFonts w:asciiTheme="minorHAnsi" w:hAnsiTheme="minorHAnsi"/>
                    <w:b/>
                    <w:bCs/>
                    <w:sz w:val="22"/>
                    <w:szCs w:val="22"/>
                  </w:rPr>
                  <w:fldChar w:fldCharType="separate"/>
                </w:r>
                <w:r>
                  <w:rPr>
                    <w:rFonts w:asciiTheme="minorHAnsi" w:hAnsiTheme="minorHAnsi"/>
                    <w:b/>
                    <w:bCs/>
                    <w:sz w:val="22"/>
                    <w:szCs w:val="22"/>
                  </w:rPr>
                  <w:t xml:space="preserve">4</w:t>
                </w:r>
                <w:r>
                  <w:rPr>
                    <w:rFonts w:asciiTheme="minorHAnsi" w:hAnsiTheme="minorHAnsi"/>
                    <w:b/>
                    <w:bCs/>
                    <w:sz w:val="22"/>
                    <w:szCs w:val="22"/>
                  </w:rPr>
                  <w:fldChar w:fldCharType="end"/>
                </w:r>
                <w:r>
                  <w:rPr>
                    <w:rFonts w:asciiTheme="minorHAnsi" w:hAnsiTheme="minorHAnsi"/>
                    <w:sz w:val="22"/>
                    <w:szCs w:val="22"/>
                  </w:rPr>
                  <w:t xml:space="preserve"> sur </w:t>
                </w:r>
                <w:r>
                  <w:rPr>
                    <w:rFonts w:asciiTheme="minorHAnsi" w:hAnsiTheme="minorHAnsi"/>
                    <w:b/>
                    <w:bCs/>
                    <w:sz w:val="22"/>
                    <w:szCs w:val="22"/>
                  </w:rPr>
                  <w:fldChar w:fldCharType="begin"/>
                </w:r>
                <w:r>
                  <w:rPr>
                    <w:rFonts w:asciiTheme="minorHAnsi" w:hAnsiTheme="minorHAnsi"/>
                    <w:b/>
                    <w:bCs/>
                    <w:sz w:val="22"/>
                    <w:szCs w:val="22"/>
                  </w:rPr>
                  <w:instrText xml:space="preserve">NUMPAGES</w:instrText>
                </w:r>
                <w:r>
                  <w:rPr>
                    <w:rFonts w:asciiTheme="minorHAnsi" w:hAnsiTheme="minorHAnsi"/>
                    <w:b/>
                    <w:bCs/>
                    <w:sz w:val="22"/>
                    <w:szCs w:val="22"/>
                  </w:rPr>
                  <w:fldChar w:fldCharType="separate"/>
                </w:r>
                <w:r>
                  <w:rPr>
                    <w:rFonts w:asciiTheme="minorHAnsi" w:hAnsiTheme="minorHAnsi"/>
                    <w:b/>
                    <w:bCs/>
                    <w:sz w:val="22"/>
                    <w:szCs w:val="22"/>
                  </w:rPr>
                  <w:t xml:space="preserve">16</w:t>
                </w:r>
                <w:r>
                  <w:rPr>
                    <w:rFonts w:asciiTheme="minorHAnsi" w:hAnsiTheme="minorHAnsi"/>
                    <w:b/>
                    <w:bCs/>
                    <w:sz w:val="22"/>
                    <w:szCs w:val="22"/>
                  </w:rPr>
                  <w:fldChar w:fldCharType="end"/>
                </w:r>
              </w:sdtContent>
            </w:sdt>
            <w:r/>
            <w:r>
              <w:rPr>
                <w:rFonts w:asciiTheme="minorHAnsi" w:hAnsiTheme="minorHAnsi" w:cstheme="minorHAnsi"/>
                <w:sz w:val="22"/>
                <w:szCs w:val="22"/>
              </w:rP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2AACF404" w14:textId="77777777">
      <w:pPr>
        <w:pBdr/>
        <w:spacing/>
        <w:ind/>
        <w:rPr/>
      </w:pPr>
      <w:r>
        <w:separator/>
      </w:r>
      <w:r/>
    </w:p>
  </w:footnote>
  <w:footnote w:type="continuationSeparator" w:id="0">
    <w:p w14:paraId="28E30D9D" w14:textId="77777777">
      <w:pPr>
        <w:pBdr/>
        <w:spacing/>
        <w:ind/>
        <w:rPr/>
      </w:pPr>
      <w:r>
        <w:continuationSeparator/>
      </w:r>
      <w:r/>
    </w:p>
  </w:footnote>
  <w:footnote w:id="2">
    <w:p w14:paraId="674E0C28" w14:textId="77777777">
      <w:pPr>
        <w:pStyle w:val="1288"/>
        <w:pBdr/>
        <w:spacing/>
        <w:ind/>
        <w:rPr>
          <w:rFonts w:asciiTheme="minorHAnsi" w:hAnsiTheme="minorHAnsi" w:cstheme="minorHAnsi"/>
        </w:rPr>
      </w:pPr>
      <w:r>
        <w:rPr>
          <w:rStyle w:val="1290"/>
          <w:rFonts w:asciiTheme="minorHAnsi" w:hAnsiTheme="minorHAnsi" w:cstheme="minorHAnsi"/>
        </w:rPr>
        <w:footnoteRef/>
      </w:r>
      <w:r>
        <w:rPr>
          <w:rFonts w:asciiTheme="minorHAnsi" w:hAnsiTheme="minorHAnsi" w:cstheme="minorHAnsi"/>
        </w:rPr>
        <w:t xml:space="preserve"> Le formulaire DC4 est disponible à l'adresse suivante : https://www.economie.gouv.fr/daj/formulaires-mise-a-jour-formulaire-declaration-sous-traitance-dans-marches-publics</w:t>
      </w:r>
      <w:r>
        <w:rPr>
          <w:rFonts w:asciiTheme="minorHAnsi" w:hAnsiTheme="minorHAnsi" w:cstheme="minorHAnsi"/>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3B7B619" w14:textId="77777777">
    <w:pPr>
      <w:pStyle w:val="1258"/>
      <w:pBdr/>
      <w:tabs>
        <w:tab w:val="clear" w:leader="none" w:pos="9072"/>
        <w:tab w:val="right" w:leader="none" w:pos="9339"/>
      </w:tabs>
      <w:spacing/>
      <w:ind/>
      <w:rPr>
        <w:rFonts w:ascii="Calibri" w:hAnsi="Calibri"/>
        <w:bCs/>
        <w:sz w:val="22"/>
        <w:szCs w:val="28"/>
        <w:u w:val="single"/>
        <w:lang w:val="en-US"/>
      </w:rPr>
    </w:pPr>
    <w:r>
      <w:rPr>
        <w:rFonts w:ascii="Calibri" w:hAnsi="Calibri"/>
        <w:bCs/>
        <w:sz w:val="22"/>
        <w:szCs w:val="28"/>
        <w:u w:val="single"/>
        <w:lang w:val="en-US"/>
      </w:rPr>
    </w:r>
    <w:r>
      <w:rPr>
        <w:rFonts w:ascii="Calibri" w:hAnsi="Calibri"/>
        <w:bCs/>
        <w:sz w:val="22"/>
        <w:szCs w:val="28"/>
        <w:u w:val="single"/>
        <w:lang w:val="en-US"/>
      </w:rPr>
    </w:r>
  </w:p>
  <w:p w14:paraId="79D1C65A" w14:textId="77777777">
    <w:pPr>
      <w:pStyle w:val="1258"/>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p>
  <w:p w14:paraId="7FB372C3" w14:textId="77777777">
    <w:pPr>
      <w:pStyle w:val="1258"/>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D8B83AC" w14:textId="77777777">
    <w:pPr>
      <w:pStyle w:val="1258"/>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D381000" w14:textId="77777777">
    <w:pPr>
      <w:pStyle w:val="1258"/>
      <w:pBdr/>
      <w:spacing/>
      <w:ind/>
      <w:rPr/>
    </w:pPr>
    <w:r/>
    <w:bookmarkStart w:id="0" w:name="_Hlk62125806"/>
    <w:r/>
    <w:bookmarkStart w:id="1" w:name="_Hlk62125807"/>
    <w:r>
      <mc:AlternateContent>
        <mc:Choice Requires="wpg">
          <w:drawing>
            <wp:inline xmlns:wp="http://schemas.openxmlformats.org/drawingml/2006/wordprocessingDrawing" distT="0" distB="0" distL="0" distR="0">
              <wp:extent cx="2124000" cy="1114574"/>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r/>
                    </pic:nvPicPr>
                    <pic:blipFill rotWithShape="1">
                      <a:blip r:embed="rId1"/>
                      <a:stretch/>
                    </pic:blipFill>
                    <pic:spPr bwMode="auto">
                      <a:xfrm>
                        <a:off x="0" y="0"/>
                        <a:ext cx="2124000" cy="1114574"/>
                      </a:xfrm>
                      <a:prstGeom prst="rect">
                        <a:avLst/>
                      </a:prstGeom>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1" o:title=""/>
              <o:lock v:ext="edit" rotation="t"/>
            </v:shape>
          </w:pict>
        </mc:Fallback>
      </mc:AlternateContent>
    </w:r>
    <w:bookmarkEnd w:id="0"/>
    <w:r/>
    <w:bookmarkEnd w:id="1"/>
    <w:r/>
    <w:r/>
  </w:p>
  <w:p w14:paraId="0ACAA1D3" w14:textId="77777777">
    <w:pPr>
      <w:pStyle w:val="1258"/>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02D4872" w14:textId="77777777">
    <w:pPr>
      <w:pStyle w:val="1258"/>
      <w:pBdr/>
      <w:tabs>
        <w:tab w:val="right" w:leader="none" w:pos="9214"/>
      </w:tabs>
      <w:spacing/>
      <w:ind/>
      <w:rPr>
        <w:rFonts w:ascii="Calibri" w:hAnsi="Calibri"/>
        <w:bCs/>
        <w:sz w:val="22"/>
        <w:szCs w:val="28"/>
        <w:u w:val="single"/>
        <w:lang w:val="en-US"/>
      </w:rPr>
    </w:pPr>
    <w:r>
      <w:rPr>
        <w:rFonts w:ascii="Calibri" w:hAnsi="Calibri"/>
        <w:bCs/>
        <w:sz w:val="22"/>
        <w:szCs w:val="28"/>
        <w:u w:val="single"/>
        <w:lang w:val="en-US"/>
      </w:rPr>
    </w:r>
    <w:r>
      <w:rPr>
        <w:rFonts w:ascii="Calibri" w:hAnsi="Calibri"/>
        <w:bCs/>
        <w:sz w:val="22"/>
        <w:szCs w:val="28"/>
        <w:u w:val="single"/>
        <w:lang w:val="en-US"/>
      </w:rPr>
    </w:r>
  </w:p>
  <w:p w14:paraId="0440F11E" w14:textId="77777777">
    <w:pPr>
      <w:pStyle w:val="1258"/>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p>
  <w:p w14:paraId="4A6ECC1D" w14:textId="77777777">
    <w:pPr>
      <w:pStyle w:val="1258"/>
      <w:pBdr/>
      <w:tabs>
        <w:tab w:val="clear" w:leader="none" w:pos="4536"/>
        <w:tab w:val="clear" w:leader="none" w:pos="9072"/>
        <w:tab w:val="right" w:leader="none" w:pos="9639"/>
      </w:tabs>
      <w:spacing/>
      <w:ind/>
      <w:rPr>
        <w:rFonts w:cs="Arial" w:asciiTheme="minorHAnsi" w:hAnsiTheme="minorHAnsi"/>
        <w:sz w:val="24"/>
      </w:rPr>
    </w:pPr>
    <w:r>
      <w:rPr>
        <w:rFonts w:cs="Arial" w:asciiTheme="minorHAnsi" w:hAnsiTheme="minorHAnsi"/>
        <w:sz w:val="24"/>
      </w:rPr>
    </w:r>
    <w:r>
      <w:rPr>
        <w:rFonts w:cs="Arial" w:asciiTheme="minorHAnsi" w:hAnsiTheme="minorHAnsi"/>
        <w:sz w:val="24"/>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11BB55C" w14:textId="77777777">
    <w:pPr>
      <w:pStyle w:val="1258"/>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p>
  <w:p w14:paraId="6F093C19" w14:textId="77777777">
    <w:pPr>
      <w:pStyle w:val="1258"/>
      <w:pBdr/>
      <w:tabs>
        <w:tab w:val="clear" w:leader="none" w:pos="4536"/>
        <w:tab w:val="clear" w:leader="none" w:pos="9072"/>
        <w:tab w:val="right" w:leader="none" w:pos="9639"/>
      </w:tabs>
      <w:spacing/>
      <w:ind/>
      <w:rPr>
        <w:rFonts w:ascii="Calibri" w:hAnsi="Calibri"/>
        <w:smallCaps/>
        <w:u w:val="single"/>
      </w:rPr>
    </w:pPr>
    <w:r>
      <w:rPr>
        <w:rFonts w:ascii="Calibri" w:hAnsi="Calibri"/>
        <w:bCs/>
        <w:smallCaps/>
        <w:sz w:val="22"/>
        <w:szCs w:val="28"/>
        <w:u w:val="single"/>
      </w:rPr>
      <w:t xml:space="preserve">Règlement de la consultation</w:t>
    </w:r>
    <w:r>
      <w:rPr>
        <w:rFonts w:ascii="Calibri" w:hAnsi="Calibri"/>
        <w:bCs/>
        <w:smallCaps/>
        <w:sz w:val="22"/>
        <w:szCs w:val="28"/>
        <w:u w:val="single"/>
      </w:rPr>
      <w:tab/>
    </w:r>
    <w:r>
      <w:rPr>
        <w:rFonts w:ascii="Calibri" w:hAnsi="Calibri"/>
        <w:smallCaps/>
        <w:u w:val="single"/>
      </w:rPr>
    </w:r>
  </w:p>
  <w:p w14:paraId="50537554" w14:textId="77777777">
    <w:pPr>
      <w:pStyle w:val="1258"/>
      <w:pBdr/>
      <w:tabs>
        <w:tab w:val="clear" w:leader="none" w:pos="4536"/>
        <w:tab w:val="clear" w:leader="none" w:pos="9072"/>
        <w:tab w:val="right" w:leader="none" w:pos="9781"/>
      </w:tabs>
      <w:spacing w:line="240" w:lineRule="auto"/>
      <w:ind/>
      <w:rPr>
        <w:rFonts w:cs="Arial" w:asciiTheme="minorHAnsi" w:hAnsiTheme="minorHAnsi"/>
        <w:sz w:val="24"/>
      </w:rPr>
    </w:pPr>
    <w:r>
      <w:rPr>
        <w:rFonts w:cs="Arial" w:asciiTheme="minorHAnsi" w:hAnsiTheme="minorHAnsi"/>
        <w:sz w:val="24"/>
      </w:rPr>
    </w:r>
    <w:r>
      <w:rPr>
        <w:rFonts w:cs="Arial" w:asciiTheme="minorHAnsi" w:hAnsiTheme="minorHAnsi"/>
        <w:sz w:val="24"/>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lvl w:ilvl="0">
      <w:isLgl w:val="false"/>
      <w:lvlJc w:val="left"/>
      <w:lvlText w:val="•"/>
      <w:numFmt w:val="bullet"/>
      <w:pPr>
        <w:pBdr/>
        <w:tabs>
          <w:tab w:val="num" w:leader="none" w:pos="360"/>
        </w:tabs>
        <w:spacing/>
        <w:ind w:firstLine="0" w:left="0"/>
      </w:pPr>
      <w:pStyle w:val="1261"/>
      <w:rPr>
        <w:rFonts w:hint="default" w:ascii="Arial" w:hAnsi="Arial"/>
        <w:b w:val="0"/>
        <w:i w:val="0"/>
        <w:caps w:val="0"/>
        <w:strike w:val="0"/>
        <w:vanish w:val="0"/>
        <w:color w:val="000000"/>
        <w:spacing w:val="0"/>
        <w:position w:val="0"/>
        <w:sz w:val="20"/>
        <w:vertAlign w:val="baseline"/>
        <w14:textOutline w14:w="0" w14:cap="rnd" w14:cmpd="sng" w14:algn="ctr">
          <w14:noFill/>
          <w14:prstDash w14:val="solid"/>
          <w14:bevel/>
        </w14:textOutline>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3"/>
    <w:lvl w:ilvl="0">
      <w:isLgl w:val="false"/>
      <w:lvlJc w:val="left"/>
      <w:lvlText w:val=""/>
      <w:numFmt w:val="none"/>
      <w:pPr>
        <w:pBdr/>
        <w:tabs>
          <w:tab w:val="num" w:leader="none" w:pos="432"/>
        </w:tabs>
        <w:spacing/>
        <w:ind w:hanging="432" w:left="432"/>
      </w:pPr>
      <w:rPr/>
      <w:start w:val="1"/>
      <w:suff w:val="nothing"/>
    </w:lvl>
    <w:lvl w:ilvl="1">
      <w:isLgl w:val="false"/>
      <w:lvlJc w:val="left"/>
      <w:lvlText w:val=""/>
      <w:numFmt w:val="none"/>
      <w:pPr>
        <w:pBdr/>
        <w:tabs>
          <w:tab w:val="num" w:leader="none" w:pos="576"/>
        </w:tabs>
        <w:spacing/>
        <w:ind w:hanging="576" w:left="576"/>
      </w:pPr>
      <w:rPr/>
      <w:start w:val="1"/>
      <w:suff w:val="nothing"/>
    </w:lvl>
    <w:lvl w:ilvl="2">
      <w:isLgl w:val="false"/>
      <w:lvlJc w:val="left"/>
      <w:lvlText w:val=""/>
      <w:numFmt w:val="none"/>
      <w:pPr>
        <w:pBdr/>
        <w:tabs>
          <w:tab w:val="num" w:leader="none" w:pos="720"/>
        </w:tabs>
        <w:spacing/>
        <w:ind w:hanging="720" w:left="720"/>
      </w:pPr>
      <w:rPr/>
      <w:start w:val="1"/>
      <w:suff w:val="nothing"/>
    </w:lvl>
    <w:lvl w:ilvl="3">
      <w:isLgl w:val="false"/>
      <w:lvlJc w:val="left"/>
      <w:lvlText w:val=""/>
      <w:numFmt w:val="none"/>
      <w:pPr>
        <w:pBdr/>
        <w:tabs>
          <w:tab w:val="num" w:leader="none" w:pos="864"/>
        </w:tabs>
        <w:spacing/>
        <w:ind w:hanging="864" w:left="864"/>
      </w:pPr>
      <w:rPr/>
      <w:start w:val="1"/>
      <w:suff w:val="nothing"/>
    </w:lvl>
    <w:lvl w:ilvl="4">
      <w:isLgl w:val="false"/>
      <w:lvlJc w:val="left"/>
      <w:lvlText w:val=""/>
      <w:numFmt w:val="none"/>
      <w:pPr>
        <w:pBdr/>
        <w:tabs>
          <w:tab w:val="num" w:leader="none" w:pos="1008"/>
        </w:tabs>
        <w:spacing/>
        <w:ind w:hanging="1008" w:left="1008"/>
      </w:pPr>
      <w:rPr/>
      <w:start w:val="1"/>
      <w:suff w:val="nothing"/>
    </w:lvl>
    <w:lvl w:ilvl="5">
      <w:isLgl w:val="false"/>
      <w:lvlJc w:val="left"/>
      <w:lvlText w:val=""/>
      <w:numFmt w:val="none"/>
      <w:pPr>
        <w:pBdr/>
        <w:tabs>
          <w:tab w:val="num" w:leader="none" w:pos="1152"/>
        </w:tabs>
        <w:spacing/>
        <w:ind w:hanging="1152" w:left="1152"/>
      </w:pPr>
      <w:rPr/>
      <w:start w:val="1"/>
      <w:suff w:val="nothing"/>
    </w:lvl>
    <w:lvl w:ilvl="6">
      <w:isLgl w:val="false"/>
      <w:lvlJc w:val="left"/>
      <w:lvlText w:val=""/>
      <w:numFmt w:val="none"/>
      <w:pPr>
        <w:pBdr/>
        <w:tabs>
          <w:tab w:val="num" w:leader="none" w:pos="1296"/>
        </w:tabs>
        <w:spacing/>
        <w:ind w:hanging="1296" w:left="1296"/>
      </w:pPr>
      <w:rPr/>
      <w:start w:val="1"/>
      <w:suff w:val="nothing"/>
    </w:lvl>
    <w:lvl w:ilvl="7">
      <w:isLgl w:val="false"/>
      <w:lvlJc w:val="left"/>
      <w:lvlText w:val=""/>
      <w:numFmt w:val="none"/>
      <w:pPr>
        <w:pBdr/>
        <w:tabs>
          <w:tab w:val="num" w:leader="none" w:pos="1440"/>
        </w:tabs>
        <w:spacing/>
        <w:ind w:hanging="1440" w:left="1440"/>
      </w:pPr>
      <w:rPr/>
      <w:start w:val="1"/>
      <w:suff w:val="nothing"/>
    </w:lvl>
    <w:lvl w:ilvl="8">
      <w:isLgl w:val="false"/>
      <w:lvlJc w:val="left"/>
      <w:lvlText w:val=""/>
      <w:numFmt w:val="none"/>
      <w:pPr>
        <w:pBdr/>
        <w:tabs>
          <w:tab w:val="num" w:leader="none" w:pos="1584"/>
        </w:tabs>
        <w:spacing/>
        <w:ind w:hanging="1584" w:left="1584"/>
      </w:pPr>
      <w:rPr/>
      <w:start w:val="1"/>
      <w:suff w:val="nothing"/>
    </w:lvl>
  </w:abstractNum>
  <w:abstractNum w:abstractNumId="2">
    <w:nsid w:val="00DC1D4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02A64562"/>
    <w:lvl w:ilvl="0">
      <w:isLgl w:val="false"/>
      <w:lvlJc w:val="left"/>
      <w:lvlText w:val=""/>
      <w:numFmt w:val="bullet"/>
      <w:pPr>
        <w:pBdr/>
        <w:spacing/>
        <w:ind w:hanging="360" w:left="720"/>
      </w:pPr>
      <w:rPr>
        <w:rFonts w:hint="default" w:ascii="Wingdings" w:hAnsi="Wingdings"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nsid w:val="093571C0"/>
    <w:lvl w:ilvl="0">
      <w:isLgl w:val="false"/>
      <w:lvlJc w:val="left"/>
      <w:lvlText w:val="-"/>
      <w:numFmt w:val="bullet"/>
      <w:pPr>
        <w:pBdr/>
        <w:spacing/>
        <w:ind w:hanging="360" w:left="720"/>
      </w:pPr>
      <w:rPr>
        <w:rFonts w:hint="default" w:ascii="Calibri" w:hAnsi="Calibri" w:eastAsia="Times" w:cs="Times New Roman"/>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nsid w:val="0C1A638A"/>
    <w:lvl w:ilvl="0">
      <w:isLgl w:val="false"/>
      <w:lvlJc w:val="left"/>
      <w:lvlText w:val=""/>
      <w:numFmt w:val="bullet"/>
      <w:pPr>
        <w:pBdr/>
        <w:tabs>
          <w:tab w:val="num" w:leader="none" w:pos="922"/>
        </w:tabs>
        <w:spacing/>
        <w:ind w:hanging="360" w:left="922"/>
      </w:pPr>
      <w:pStyle w:val="1272"/>
      <w:rPr>
        <w:rFonts w:hint="default" w:ascii="Symbol" w:hAnsi="Symbol"/>
        <w:b w:val="0"/>
        <w:i w:val="0"/>
        <w:caps w:val="0"/>
        <w:strike w:val="0"/>
        <w:vanish w:val="0"/>
        <w:color w:val="000000"/>
        <w:sz w:val="16"/>
        <w:vertAlign w:val="baseline"/>
        <w14:textOutline w14:w="0" w14:cap="rnd" w14:cmpd="sng" w14:algn="ctr">
          <w14:noFill/>
          <w14:prstDash w14:val="solid"/>
          <w14:bevel/>
        </w14:textOutline>
      </w:rPr>
      <w:start w:val="1"/>
      <w:suff w:val="tab"/>
    </w:lvl>
    <w:lvl w:ilvl="1">
      <w:isLgl w:val="false"/>
      <w:lvlJc w:val="left"/>
      <w:lvlText w:val="o"/>
      <w:numFmt w:val="bullet"/>
      <w:pPr>
        <w:pBdr/>
        <w:tabs>
          <w:tab w:val="num" w:leader="none" w:pos="2002"/>
        </w:tabs>
        <w:spacing/>
        <w:ind w:hanging="360" w:left="2002"/>
      </w:pPr>
      <w:rPr>
        <w:rFonts w:hint="default" w:ascii="Courier New" w:hAnsi="Courier New"/>
      </w:rPr>
      <w:start w:val="1"/>
      <w:suff w:val="tab"/>
    </w:lvl>
    <w:lvl w:ilvl="2">
      <w:isLgl w:val="false"/>
      <w:lvlJc w:val="left"/>
      <w:lvlText w:val=""/>
      <w:numFmt w:val="bullet"/>
      <w:pPr>
        <w:pBdr/>
        <w:tabs>
          <w:tab w:val="num" w:leader="none" w:pos="2722"/>
        </w:tabs>
        <w:spacing/>
        <w:ind w:hanging="360" w:left="2722"/>
      </w:pPr>
      <w:rPr>
        <w:rFonts w:hint="default" w:ascii="Wingdings" w:hAnsi="Wingdings"/>
      </w:rPr>
      <w:start w:val="1"/>
      <w:suff w:val="tab"/>
    </w:lvl>
    <w:lvl w:ilvl="3">
      <w:isLgl w:val="false"/>
      <w:lvlJc w:val="left"/>
      <w:lvlText w:val=""/>
      <w:numFmt w:val="bullet"/>
      <w:pPr>
        <w:pBdr/>
        <w:tabs>
          <w:tab w:val="num" w:leader="none" w:pos="3442"/>
        </w:tabs>
        <w:spacing/>
        <w:ind w:hanging="360" w:left="3442"/>
      </w:pPr>
      <w:rPr>
        <w:rFonts w:hint="default" w:ascii="Symbol" w:hAnsi="Symbol"/>
      </w:rPr>
      <w:start w:val="1"/>
      <w:suff w:val="tab"/>
    </w:lvl>
    <w:lvl w:ilvl="4">
      <w:isLgl w:val="false"/>
      <w:lvlJc w:val="left"/>
      <w:lvlText w:val="o"/>
      <w:numFmt w:val="bullet"/>
      <w:pPr>
        <w:pBdr/>
        <w:tabs>
          <w:tab w:val="num" w:leader="none" w:pos="4162"/>
        </w:tabs>
        <w:spacing/>
        <w:ind w:hanging="360" w:left="4162"/>
      </w:pPr>
      <w:rPr>
        <w:rFonts w:hint="default" w:ascii="Courier New" w:hAnsi="Courier New"/>
      </w:rPr>
      <w:start w:val="1"/>
      <w:suff w:val="tab"/>
    </w:lvl>
    <w:lvl w:ilvl="5">
      <w:isLgl w:val="false"/>
      <w:lvlJc w:val="left"/>
      <w:lvlText w:val=""/>
      <w:numFmt w:val="bullet"/>
      <w:pPr>
        <w:pBdr/>
        <w:tabs>
          <w:tab w:val="num" w:leader="none" w:pos="4882"/>
        </w:tabs>
        <w:spacing/>
        <w:ind w:hanging="360" w:left="4882"/>
      </w:pPr>
      <w:rPr>
        <w:rFonts w:hint="default" w:ascii="Wingdings" w:hAnsi="Wingdings"/>
      </w:rPr>
      <w:start w:val="1"/>
      <w:suff w:val="tab"/>
    </w:lvl>
    <w:lvl w:ilvl="6">
      <w:isLgl w:val="false"/>
      <w:lvlJc w:val="left"/>
      <w:lvlText w:val=""/>
      <w:numFmt w:val="bullet"/>
      <w:pPr>
        <w:pBdr/>
        <w:tabs>
          <w:tab w:val="num" w:leader="none" w:pos="5602"/>
        </w:tabs>
        <w:spacing/>
        <w:ind w:hanging="360" w:left="5602"/>
      </w:pPr>
      <w:rPr>
        <w:rFonts w:hint="default" w:ascii="Symbol" w:hAnsi="Symbol"/>
      </w:rPr>
      <w:start w:val="1"/>
      <w:suff w:val="tab"/>
    </w:lvl>
    <w:lvl w:ilvl="7">
      <w:isLgl w:val="false"/>
      <w:lvlJc w:val="left"/>
      <w:lvlText w:val="o"/>
      <w:numFmt w:val="bullet"/>
      <w:pPr>
        <w:pBdr/>
        <w:tabs>
          <w:tab w:val="num" w:leader="none" w:pos="6322"/>
        </w:tabs>
        <w:spacing/>
        <w:ind w:hanging="360" w:left="6322"/>
      </w:pPr>
      <w:rPr>
        <w:rFonts w:hint="default" w:ascii="Courier New" w:hAnsi="Courier New"/>
      </w:rPr>
      <w:start w:val="1"/>
      <w:suff w:val="tab"/>
    </w:lvl>
    <w:lvl w:ilvl="8">
      <w:isLgl w:val="false"/>
      <w:lvlJc w:val="left"/>
      <w:lvlText w:val=""/>
      <w:numFmt w:val="bullet"/>
      <w:pPr>
        <w:pBdr/>
        <w:tabs>
          <w:tab w:val="num" w:leader="none" w:pos="7042"/>
        </w:tabs>
        <w:spacing/>
        <w:ind w:hanging="360" w:left="7042"/>
      </w:pPr>
      <w:rPr>
        <w:rFonts w:hint="default" w:ascii="Wingdings" w:hAnsi="Wingdings"/>
      </w:rPr>
      <w:start w:val="1"/>
      <w:suff w:val="tab"/>
    </w:lvl>
  </w:abstractNum>
  <w:abstractNum w:abstractNumId="6">
    <w:nsid w:val="0D872CB2"/>
    <w:lvl w:ilvl="0">
      <w:isLgl w:val="false"/>
      <w:lvlJc w:val="left"/>
      <w:lvlText w:val="%1."/>
      <w:numFmt w:val="lowerLetter"/>
      <w:pPr>
        <w:pBdr/>
        <w:spacing/>
        <w:ind w:hanging="360" w:left="1440"/>
      </w:pPr>
      <w:rPr>
        <w:rFonts w:ascii="Calibri" w:hAnsi="Calibri" w:eastAsia="Times" w:cs="Calibri"/>
      </w:rPr>
      <w:start w:val="1"/>
      <w:suff w:val="tab"/>
    </w:lvl>
    <w:lvl w:ilvl="1">
      <w:isLgl w:val="false"/>
      <w:lvlJc w:val="left"/>
      <w:lvlText w:val="%2."/>
      <w:numFmt w:val="lowerRoman"/>
      <w:pPr>
        <w:pBdr/>
        <w:spacing/>
        <w:ind w:hanging="360" w:left="2160"/>
      </w:pPr>
      <w:rPr>
        <w:rFonts w:ascii="Calibri" w:hAnsi="Calibri" w:eastAsia="Times" w:cs="Calibri"/>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7">
    <w:nsid w:val="12AA454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8">
    <w:nsid w:val="12FA3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z w:val="20"/>
        <w:szCs w:val="2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15465BFF"/>
    <w:lvl w:ilvl="0">
      <w:isLgl w:val="false"/>
      <w:lvlJc w:val="left"/>
      <w:lvlText w:val=""/>
      <w:numFmt w:val="bullet"/>
      <w:pPr>
        <w:pBdr/>
        <w:tabs>
          <w:tab w:val="num" w:leader="none" w:pos="994"/>
        </w:tabs>
        <w:spacing/>
        <w:ind w:hanging="432" w:left="994"/>
      </w:pPr>
      <w:pStyle w:val="1267"/>
      <w:rPr>
        <w:rFonts w:hint="default" w:ascii="Symbol" w:hAnsi="Symbol"/>
        <w:sz w:val="22"/>
      </w:rPr>
      <w:start w:val="1"/>
      <w:suff w:val="tab"/>
    </w:lvl>
    <w:lvl w:ilvl="1">
      <w:isLgl w:val="false"/>
      <w:lvlJc w:val="left"/>
      <w:lvlText w:val="-"/>
      <w:numFmt w:val="bullet"/>
      <w:pPr>
        <w:pBdr/>
        <w:tabs>
          <w:tab w:val="num" w:leader="none" w:pos="1440"/>
        </w:tabs>
        <w:spacing/>
        <w:ind w:hanging="360" w:left="1440"/>
      </w:pPr>
      <w:rPr>
        <w:rFonts w:hint="default" w:ascii="Times New Roman" w:hAnsi="Times New Roman" w:eastAsia="Times New Roman" w:cs="Times New Roman"/>
      </w:rPr>
      <w:start w:val="3"/>
      <w:suff w:val="tab"/>
    </w:lvl>
    <w:lvl w:ilvl="2">
      <w:isLgl w:val="false"/>
      <w:lvlJc w:val="left"/>
      <w:lvlText w:val=""/>
      <w:numFmt w:val="bullet"/>
      <w:pPr>
        <w:pBdr/>
        <w:tabs>
          <w:tab w:val="num" w:leader="none" w:pos="2505"/>
        </w:tabs>
        <w:spacing/>
        <w:ind w:hanging="705" w:left="2505"/>
      </w:pPr>
      <w:rPr>
        <w:rFonts w:hint="default" w:ascii="Wingdings" w:hAnsi="Wingdings" w:eastAsia="Times New Roman" w:cs="Times New Roman"/>
      </w:rPr>
      <w:start w:val="3"/>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0">
    <w:nsid w:val="164043BE"/>
    <w:lvl w:ilvl="0">
      <w:isLgl w:val="false"/>
      <w:lvlJc w:val="left"/>
      <w:lvlText w:val=""/>
      <w:numFmt w:val="bullet"/>
      <w:pPr>
        <w:pBdr/>
        <w:spacing/>
        <w:ind w:hanging="360" w:left="1066"/>
      </w:pPr>
      <w:rPr>
        <w:rFonts w:ascii="Symbol" w:hAnsi="Symbol"/>
      </w:rPr>
      <w:start w:val="0"/>
      <w:suff w:val="tab"/>
    </w:lvl>
    <w:lvl w:ilvl="1">
      <w:isLgl w:val="false"/>
      <w:lvlJc w:val="left"/>
      <w:lvlText w:val="o"/>
      <w:numFmt w:val="bullet"/>
      <w:pPr>
        <w:pBdr/>
        <w:spacing/>
        <w:ind w:hanging="360" w:left="1786"/>
      </w:pPr>
      <w:rPr>
        <w:rFonts w:ascii="Courier New" w:hAnsi="Courier New" w:cs="Courier New"/>
      </w:rPr>
      <w:start w:val="0"/>
      <w:suff w:val="tab"/>
    </w:lvl>
    <w:lvl w:ilvl="2">
      <w:isLgl w:val="false"/>
      <w:lvlJc w:val="left"/>
      <w:lvlText w:val=""/>
      <w:numFmt w:val="bullet"/>
      <w:pPr>
        <w:pBdr/>
        <w:spacing/>
        <w:ind w:hanging="360" w:left="2506"/>
      </w:pPr>
      <w:rPr>
        <w:rFonts w:ascii="Wingdings" w:hAnsi="Wingdings"/>
      </w:rPr>
      <w:start w:val="0"/>
      <w:suff w:val="tab"/>
    </w:lvl>
    <w:lvl w:ilvl="3">
      <w:isLgl w:val="false"/>
      <w:lvlJc w:val="left"/>
      <w:lvlText w:val=""/>
      <w:numFmt w:val="bullet"/>
      <w:pPr>
        <w:pBdr/>
        <w:spacing/>
        <w:ind w:hanging="360" w:left="3226"/>
      </w:pPr>
      <w:rPr>
        <w:rFonts w:ascii="Symbol" w:hAnsi="Symbol"/>
      </w:rPr>
      <w:start w:val="0"/>
      <w:suff w:val="tab"/>
    </w:lvl>
    <w:lvl w:ilvl="4">
      <w:isLgl w:val="false"/>
      <w:lvlJc w:val="left"/>
      <w:lvlText w:val="o"/>
      <w:numFmt w:val="bullet"/>
      <w:pPr>
        <w:pBdr/>
        <w:spacing/>
        <w:ind w:hanging="360" w:left="3946"/>
      </w:pPr>
      <w:rPr>
        <w:rFonts w:ascii="Courier New" w:hAnsi="Courier New" w:cs="Courier New"/>
      </w:rPr>
      <w:start w:val="0"/>
      <w:suff w:val="tab"/>
    </w:lvl>
    <w:lvl w:ilvl="5">
      <w:isLgl w:val="false"/>
      <w:lvlJc w:val="left"/>
      <w:lvlText w:val=""/>
      <w:numFmt w:val="bullet"/>
      <w:pPr>
        <w:pBdr/>
        <w:spacing/>
        <w:ind w:hanging="360" w:left="4666"/>
      </w:pPr>
      <w:rPr>
        <w:rFonts w:ascii="Wingdings" w:hAnsi="Wingdings"/>
      </w:rPr>
      <w:start w:val="0"/>
      <w:suff w:val="tab"/>
    </w:lvl>
    <w:lvl w:ilvl="6">
      <w:isLgl w:val="false"/>
      <w:lvlJc w:val="left"/>
      <w:lvlText w:val=""/>
      <w:numFmt w:val="bullet"/>
      <w:pPr>
        <w:pBdr/>
        <w:spacing/>
        <w:ind w:hanging="360" w:left="5386"/>
      </w:pPr>
      <w:rPr>
        <w:rFonts w:ascii="Symbol" w:hAnsi="Symbol"/>
      </w:rPr>
      <w:start w:val="0"/>
      <w:suff w:val="tab"/>
    </w:lvl>
    <w:lvl w:ilvl="7">
      <w:isLgl w:val="false"/>
      <w:lvlJc w:val="left"/>
      <w:lvlText w:val="o"/>
      <w:numFmt w:val="bullet"/>
      <w:pPr>
        <w:pBdr/>
        <w:spacing/>
        <w:ind w:hanging="360" w:left="6106"/>
      </w:pPr>
      <w:rPr>
        <w:rFonts w:ascii="Courier New" w:hAnsi="Courier New" w:cs="Courier New"/>
      </w:rPr>
      <w:start w:val="0"/>
      <w:suff w:val="tab"/>
    </w:lvl>
    <w:lvl w:ilvl="8">
      <w:isLgl w:val="false"/>
      <w:lvlJc w:val="left"/>
      <w:lvlText w:val=""/>
      <w:numFmt w:val="bullet"/>
      <w:pPr>
        <w:pBdr/>
        <w:spacing/>
        <w:ind w:hanging="360" w:left="6826"/>
      </w:pPr>
      <w:rPr>
        <w:rFonts w:ascii="Wingdings" w:hAnsi="Wingdings"/>
      </w:rPr>
      <w:start w:val="0"/>
      <w:suff w:val="tab"/>
    </w:lvl>
  </w:abstractNum>
  <w:abstractNum w:abstractNumId="11">
    <w:nsid w:val="1A6C511B"/>
    <w:lvl w:ilvl="0">
      <w:isLgl w:val="false"/>
      <w:lvlJc w:val="left"/>
      <w:lvlText w:val="ARTICLE %1 :"/>
      <w:numFmt w:val="decimal"/>
      <w:pPr>
        <w:pBdr/>
        <w:spacing/>
        <w:ind w:hanging="360" w:left="360"/>
      </w:pPr>
      <w:rPr>
        <w:rFonts w:hint="default"/>
      </w:rPr>
      <w:start w:val="1"/>
      <w:suff w:val="tab"/>
    </w:lvl>
    <w:lvl w:ilvl="1">
      <w:isLgl w:val="false"/>
      <w:lvlJc w:val="left"/>
      <w:lvlText w:val="%2"/>
      <w:numFmt w:val="decimal"/>
      <w:pPr>
        <w:pBdr/>
        <w:spacing/>
        <w:ind w:hanging="360" w:left="720"/>
      </w:pPr>
      <w:rPr>
        <w:rFonts w:hint="default"/>
      </w:rPr>
      <w:start w:val="1"/>
      <w:suff w:val="tab"/>
    </w:lvl>
    <w:lvl w:ilvl="2">
      <w:isLgl w:val="false"/>
      <w:lvlJc w:val="left"/>
      <w:lvlText w:val="%2.%3"/>
      <w:numFmt w:val="decimal"/>
      <w:pPr>
        <w:pBdr/>
        <w:spacing/>
        <w:ind w:hanging="360" w:left="1080"/>
      </w:pPr>
      <w:rPr>
        <w:rFonts w:hint="default"/>
      </w:rPr>
      <w:start w:val="1"/>
      <w:suff w:val="tab"/>
    </w:lvl>
    <w:lvl w:ilvl="3">
      <w:isLgl w:val="false"/>
      <w:lvlJc w:val="left"/>
      <w:lvlText w:val="%4)"/>
      <w:numFmt w:val="lowerLetter"/>
      <w:pPr>
        <w:pBdr/>
        <w:spacing/>
        <w:ind w:hanging="360" w:left="1440"/>
      </w:pPr>
      <w:rPr>
        <w:rFonts w:hint="default"/>
      </w:rPr>
      <w:start w:val="1"/>
      <w:suff w:val="tab"/>
    </w:lvl>
    <w:lvl w:ilvl="4">
      <w:isLgl w:val="false"/>
      <w:lvlJc w:val="left"/>
      <w:lvlText w:val="(%5)"/>
      <w:numFmt w:val="lowerRoman"/>
      <w:pPr>
        <w:pBdr/>
        <w:spacing/>
        <w:ind w:hanging="360" w:left="1800"/>
      </w:pPr>
      <w:rPr>
        <w:rFonts w:hint="default"/>
      </w:rPr>
      <w:start w:val="1"/>
      <w:suff w:val="tab"/>
    </w:lvl>
    <w:lvl w:ilvl="5">
      <w:isLgl w:val="false"/>
      <w:lvlJc w:val="left"/>
      <w:lvlText w:val="(%6)"/>
      <w:numFmt w:val="none"/>
      <w:pPr>
        <w:pBdr/>
        <w:spacing/>
        <w:ind w:hanging="360" w:left="2160"/>
      </w:pPr>
      <w:rPr>
        <w:rFonts w:hint="default"/>
      </w:rPr>
      <w:start w:val="1"/>
      <w:suff w:val="tab"/>
    </w:lvl>
    <w:lvl w:ilvl="6">
      <w:isLgl w:val="false"/>
      <w:lvlJc w:val="left"/>
      <w:lvlText w:val="%7."/>
      <w:numFmt w:val="none"/>
      <w:pPr>
        <w:pBdr/>
        <w:spacing/>
        <w:ind w:hanging="360" w:left="2520"/>
      </w:pPr>
      <w:rPr>
        <w:rFonts w:hint="default"/>
      </w:rPr>
      <w:start w:val="1"/>
      <w:suff w:val="tab"/>
    </w:lvl>
    <w:lvl w:ilvl="7">
      <w:isLgl w:val="false"/>
      <w:lvlJc w:val="left"/>
      <w:lvlText w:val="%8."/>
      <w:numFmt w:val="none"/>
      <w:pPr>
        <w:pBdr/>
        <w:spacing/>
        <w:ind w:hanging="360" w:left="2880"/>
      </w:pPr>
      <w:rPr>
        <w:rFonts w:hint="default"/>
      </w:rPr>
      <w:start w:val="1"/>
      <w:suff w:val="tab"/>
    </w:lvl>
    <w:lvl w:ilvl="8">
      <w:isLgl w:val="false"/>
      <w:lvlJc w:val="left"/>
      <w:lvlText w:val="%9."/>
      <w:numFmt w:val="none"/>
      <w:pPr>
        <w:pBdr/>
        <w:spacing/>
        <w:ind w:hanging="360" w:left="3240"/>
      </w:pPr>
      <w:rPr>
        <w:rFonts w:hint="default"/>
      </w:rPr>
      <w:start w:val="1"/>
      <w:suff w:val="tab"/>
    </w:lvl>
  </w:abstractNum>
  <w:abstractNum w:abstractNumId="12">
    <w:nsid w:val="24742497"/>
    <w:lvl w:ilvl="0">
      <w:isLgl w:val="false"/>
      <w:lvlJc w:val="left"/>
      <w:lvlText w:val="-"/>
      <w:numFmt w:val="bullet"/>
      <w:pPr>
        <w:pBdr/>
        <w:spacing/>
        <w:ind w:hanging="360" w:left="720"/>
      </w:pPr>
      <w:rPr>
        <w:rFonts w:hint="default" w:ascii="Calibri" w:hAnsi="Calibri" w:cs="Calibri" w:eastAsiaTheme="minorHAns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nsid w:val="273E22A2"/>
    <w:lvl w:ilvl="0">
      <w:isLgl w:val="false"/>
      <w:lvlJc w:val="left"/>
      <w:lvlText w:val="o"/>
      <w:numFmt w:val="bullet"/>
      <w:pPr>
        <w:pBdr/>
        <w:spacing/>
        <w:ind w:hanging="360" w:left="1068"/>
      </w:pPr>
      <w:rPr>
        <w:rFonts w:hint="default" w:ascii="Courier New" w:hAnsi="Courier New" w:cs="Courier New"/>
      </w:rPr>
      <w:start w:val="1"/>
      <w:suff w:val="tab"/>
    </w:lvl>
    <w:lvl w:ilvl="1">
      <w:isLgl w:val="false"/>
      <w:lvlJc w:val="left"/>
      <w:lvlText w:val="%2."/>
      <w:numFmt w:val="decimal"/>
      <w:pPr>
        <w:pBdr/>
        <w:spacing/>
        <w:ind w:hanging="360" w:left="1788"/>
      </w:pPr>
      <w:rPr>
        <w:rFonts w:eastAsia="Times" w:cs="Times New Roman" w:asciiTheme="minorHAnsi" w:hAnsiTheme="minorHAnsi"/>
      </w:rPr>
      <w:start w:val="1"/>
      <w:suff w:val="tab"/>
    </w:lvl>
    <w:lvl w:ilvl="2">
      <w:isLgl w:val="false"/>
      <w:lvlJc w:val="left"/>
      <w:lvlText w:val=""/>
      <w:numFmt w:val="bullet"/>
      <w:pPr>
        <w:pBdr/>
        <w:spacing/>
        <w:ind w:hanging="360" w:left="2508"/>
      </w:pPr>
      <w:rPr>
        <w:rFonts w:hint="default" w:ascii="Wingdings" w:hAnsi="Wingdings"/>
      </w:rPr>
      <w:start w:val="1"/>
      <w:suff w:val="tab"/>
    </w:lvl>
    <w:lvl w:ilvl="3">
      <w:isLgl w:val="false"/>
      <w:lvlJc w:val="left"/>
      <w:lvlText w:val=""/>
      <w:numFmt w:val="bullet"/>
      <w:pPr>
        <w:pBdr/>
        <w:spacing/>
        <w:ind w:hanging="360" w:left="3228"/>
      </w:pPr>
      <w:rPr>
        <w:rFonts w:hint="default" w:ascii="Symbol" w:hAnsi="Symbol"/>
      </w:rPr>
      <w:start w:val="1"/>
      <w:suff w:val="tab"/>
    </w:lvl>
    <w:lvl w:ilvl="4">
      <w:isLgl w:val="false"/>
      <w:lvlJc w:val="left"/>
      <w:lvlText w:val="o"/>
      <w:numFmt w:val="bullet"/>
      <w:pPr>
        <w:pBdr/>
        <w:spacing/>
        <w:ind w:hanging="360" w:left="3948"/>
      </w:pPr>
      <w:rPr>
        <w:rFonts w:hint="default" w:ascii="Courier New" w:hAnsi="Courier New" w:cs="Courier New"/>
      </w:rPr>
      <w:start w:val="1"/>
      <w:suff w:val="tab"/>
    </w:lvl>
    <w:lvl w:ilvl="5">
      <w:isLgl w:val="false"/>
      <w:lvlJc w:val="left"/>
      <w:lvlText w:val=""/>
      <w:numFmt w:val="bullet"/>
      <w:pPr>
        <w:pBdr/>
        <w:spacing/>
        <w:ind w:hanging="360" w:left="4668"/>
      </w:pPr>
      <w:rPr>
        <w:rFonts w:hint="default" w:ascii="Wingdings" w:hAnsi="Wingdings"/>
      </w:rPr>
      <w:start w:val="1"/>
      <w:suff w:val="tab"/>
    </w:lvl>
    <w:lvl w:ilvl="6">
      <w:isLgl w:val="false"/>
      <w:lvlJc w:val="left"/>
      <w:lvlText w:val=""/>
      <w:numFmt w:val="bullet"/>
      <w:pPr>
        <w:pBdr/>
        <w:spacing/>
        <w:ind w:hanging="360" w:left="5388"/>
      </w:pPr>
      <w:rPr>
        <w:rFonts w:hint="default" w:ascii="Symbol" w:hAnsi="Symbol"/>
      </w:rPr>
      <w:start w:val="1"/>
      <w:suff w:val="tab"/>
    </w:lvl>
    <w:lvl w:ilvl="7">
      <w:isLgl w:val="false"/>
      <w:lvlJc w:val="left"/>
      <w:lvlText w:val="o"/>
      <w:numFmt w:val="bullet"/>
      <w:pPr>
        <w:pBdr/>
        <w:spacing/>
        <w:ind w:hanging="360" w:left="6108"/>
      </w:pPr>
      <w:rPr>
        <w:rFonts w:hint="default" w:ascii="Courier New" w:hAnsi="Courier New" w:cs="Courier New"/>
      </w:rPr>
      <w:start w:val="1"/>
      <w:suff w:val="tab"/>
    </w:lvl>
    <w:lvl w:ilvl="8">
      <w:isLgl w:val="false"/>
      <w:lvlJc w:val="left"/>
      <w:lvlText w:val=""/>
      <w:numFmt w:val="bullet"/>
      <w:pPr>
        <w:pBdr/>
        <w:spacing/>
        <w:ind w:hanging="360" w:left="6828"/>
      </w:pPr>
      <w:rPr>
        <w:rFonts w:hint="default" w:ascii="Wingdings" w:hAnsi="Wingdings"/>
      </w:rPr>
      <w:start w:val="1"/>
      <w:suff w:val="tab"/>
    </w:lvl>
  </w:abstractNum>
  <w:abstractNum w:abstractNumId="14">
    <w:nsid w:val="278556B3"/>
    <w:lvl w:ilvl="0">
      <w:isLgl w:val="false"/>
      <w:lvlJc w:val="left"/>
      <w:lvlText w:val="o"/>
      <w:numFmt w:val="bullet"/>
      <w:pPr>
        <w:pBdr/>
        <w:spacing/>
        <w:ind w:hanging="360" w:left="1080"/>
      </w:pPr>
      <w:rPr>
        <w:rFonts w:hint="default" w:ascii="Courier New" w:hAnsi="Courier New" w:cs="Courier New"/>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5">
    <w:nsid w:val="291B3500"/>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6">
    <w:nsid w:val="2CF440C6"/>
    <w:lvl w:ilvl="0">
      <w:isLgl w:val="false"/>
      <w:lvlJc w:val="left"/>
      <w:lvlText w:val="%1)"/>
      <w:numFmt w:val="lowerLetter"/>
      <w:pPr>
        <w:pBdr/>
        <w:tabs>
          <w:tab w:val="num" w:leader="none" w:pos="360"/>
        </w:tabs>
        <w:spacing/>
        <w:ind w:hanging="360" w:left="360"/>
      </w:pPr>
      <w:rPr>
        <w:rFonts w:cs="Times New Roman"/>
      </w:rPr>
      <w:start w:val="1"/>
      <w:suff w:val="tab"/>
    </w:lvl>
    <w:lvl w:ilvl="1">
      <w:isLgl w:val="false"/>
      <w:lvlJc w:val="left"/>
      <w:lvlText w:val=""/>
      <w:numFmt w:val="decimal"/>
      <w:pPr>
        <w:pBdr/>
        <w:spacing/>
        <w:ind/>
      </w:pPr>
      <w:rPr>
        <w:rFonts w:cs="Times New Roman"/>
      </w:rPr>
      <w:start w:val="0"/>
      <w:suff w:val="tab"/>
    </w:lvl>
    <w:lvl w:ilvl="2">
      <w:isLgl w:val="false"/>
      <w:lvlJc w:val="left"/>
      <w:lvlText w:val=""/>
      <w:numFmt w:val="decimal"/>
      <w:pPr>
        <w:pBdr/>
        <w:spacing/>
        <w:ind/>
      </w:pPr>
      <w:rPr>
        <w:rFonts w:cs="Times New Roman"/>
      </w:rPr>
      <w:start w:val="0"/>
      <w:suff w:val="tab"/>
    </w:lvl>
    <w:lvl w:ilvl="3">
      <w:isLgl w:val="false"/>
      <w:lvlJc w:val="left"/>
      <w:lvlText w:val=""/>
      <w:numFmt w:val="decimal"/>
      <w:pPr>
        <w:pBdr/>
        <w:spacing/>
        <w:ind/>
      </w:pPr>
      <w:rPr>
        <w:rFonts w:cs="Times New Roman"/>
      </w:rPr>
      <w:start w:val="0"/>
      <w:suff w:val="tab"/>
    </w:lvl>
    <w:lvl w:ilvl="4">
      <w:isLgl w:val="false"/>
      <w:lvlJc w:val="left"/>
      <w:lvlText w:val=""/>
      <w:numFmt w:val="decimal"/>
      <w:pPr>
        <w:pBdr/>
        <w:spacing/>
        <w:ind/>
      </w:pPr>
      <w:rPr>
        <w:rFonts w:cs="Times New Roman"/>
      </w:rPr>
      <w:start w:val="0"/>
      <w:suff w:val="tab"/>
    </w:lvl>
    <w:lvl w:ilvl="5">
      <w:isLgl w:val="false"/>
      <w:lvlJc w:val="left"/>
      <w:lvlText w:val=""/>
      <w:numFmt w:val="decimal"/>
      <w:pPr>
        <w:pBdr/>
        <w:spacing/>
        <w:ind/>
      </w:pPr>
      <w:rPr>
        <w:rFonts w:cs="Times New Roman"/>
      </w:rPr>
      <w:start w:val="0"/>
      <w:suff w:val="tab"/>
    </w:lvl>
    <w:lvl w:ilvl="6">
      <w:isLgl w:val="false"/>
      <w:lvlJc w:val="left"/>
      <w:lvlText w:val=""/>
      <w:numFmt w:val="decimal"/>
      <w:pPr>
        <w:pBdr/>
        <w:spacing/>
        <w:ind/>
      </w:pPr>
      <w:rPr>
        <w:rFonts w:cs="Times New Roman"/>
      </w:rPr>
      <w:start w:val="0"/>
      <w:suff w:val="tab"/>
    </w:lvl>
    <w:lvl w:ilvl="7">
      <w:isLgl w:val="false"/>
      <w:lvlJc w:val="left"/>
      <w:lvlText w:val=""/>
      <w:numFmt w:val="decimal"/>
      <w:pPr>
        <w:pBdr/>
        <w:spacing/>
        <w:ind/>
      </w:pPr>
      <w:rPr>
        <w:rFonts w:cs="Times New Roman"/>
      </w:rPr>
      <w:start w:val="0"/>
      <w:suff w:val="tab"/>
    </w:lvl>
    <w:lvl w:ilvl="8">
      <w:isLgl w:val="false"/>
      <w:lvlJc w:val="left"/>
      <w:lvlText w:val=""/>
      <w:numFmt w:val="decimal"/>
      <w:pPr>
        <w:pBdr/>
        <w:spacing/>
        <w:ind/>
      </w:pPr>
      <w:rPr>
        <w:rFonts w:cs="Times New Roman"/>
      </w:rPr>
      <w:start w:val="0"/>
      <w:suff w:val="tab"/>
    </w:lvl>
  </w:abstractNum>
  <w:abstractNum w:abstractNumId="17">
    <w:nsid w:val="2E5C38F8"/>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nsid w:val="2EDE4118"/>
    <w:lvl w:ilvl="0">
      <w:isLgl w:val="false"/>
      <w:lvlJc w:val="left"/>
      <w:lvlText w:val="-"/>
      <w:numFmt w:val="bullet"/>
      <w:pPr>
        <w:pBdr/>
        <w:spacing/>
        <w:ind w:hanging="360" w:left="720"/>
      </w:pPr>
      <w:rPr>
        <w:rFonts w:ascii="Arial" w:hAnsi="Arial" w:eastAsia="Andale Sans UI" w:cs="Arial"/>
      </w:rPr>
      <w:start w:val="0"/>
      <w:suff w:val="tab"/>
    </w:lvl>
    <w:lvl w:ilvl="1">
      <w:isLgl w:val="false"/>
      <w:lvlJc w:val="left"/>
      <w:lvlText w:val="o"/>
      <w:numFmt w:val="bullet"/>
      <w:pPr>
        <w:pBdr/>
        <w:spacing/>
        <w:ind w:hanging="360" w:left="1440"/>
      </w:pPr>
      <w:rPr>
        <w:rFonts w:ascii="Courier New" w:hAnsi="Courier New" w:cs="Courier New"/>
      </w:rPr>
      <w:start w:val="0"/>
      <w:suff w:val="tab"/>
    </w:lvl>
    <w:lvl w:ilvl="2">
      <w:isLgl w:val="false"/>
      <w:lvlJc w:val="left"/>
      <w:lvlText w:val=""/>
      <w:numFmt w:val="bullet"/>
      <w:pPr>
        <w:pBdr/>
        <w:spacing/>
        <w:ind w:hanging="360" w:left="2160"/>
      </w:pPr>
      <w:rPr>
        <w:rFonts w:ascii="Wingdings" w:hAnsi="Wingdings"/>
      </w:rPr>
      <w:start w:val="0"/>
      <w:suff w:val="tab"/>
    </w:lvl>
    <w:lvl w:ilvl="3">
      <w:isLgl w:val="false"/>
      <w:lvlJc w:val="left"/>
      <w:lvlText w:val=""/>
      <w:numFmt w:val="bullet"/>
      <w:pPr>
        <w:pBdr/>
        <w:spacing/>
        <w:ind w:hanging="360" w:left="2880"/>
      </w:pPr>
      <w:rPr>
        <w:rFonts w:ascii="Symbol" w:hAnsi="Symbol"/>
      </w:rPr>
      <w:start w:val="0"/>
      <w:suff w:val="tab"/>
    </w:lvl>
    <w:lvl w:ilvl="4">
      <w:isLgl w:val="false"/>
      <w:lvlJc w:val="left"/>
      <w:lvlText w:val="o"/>
      <w:numFmt w:val="bullet"/>
      <w:pPr>
        <w:pBdr/>
        <w:spacing/>
        <w:ind w:hanging="360" w:left="3600"/>
      </w:pPr>
      <w:rPr>
        <w:rFonts w:ascii="Courier New" w:hAnsi="Courier New" w:cs="Courier New"/>
      </w:rPr>
      <w:start w:val="0"/>
      <w:suff w:val="tab"/>
    </w:lvl>
    <w:lvl w:ilvl="5">
      <w:isLgl w:val="false"/>
      <w:lvlJc w:val="left"/>
      <w:lvlText w:val=""/>
      <w:numFmt w:val="bullet"/>
      <w:pPr>
        <w:pBdr/>
        <w:spacing/>
        <w:ind w:hanging="360" w:left="4320"/>
      </w:pPr>
      <w:rPr>
        <w:rFonts w:ascii="Wingdings" w:hAnsi="Wingdings"/>
      </w:rPr>
      <w:start w:val="0"/>
      <w:suff w:val="tab"/>
    </w:lvl>
    <w:lvl w:ilvl="6">
      <w:isLgl w:val="false"/>
      <w:lvlJc w:val="left"/>
      <w:lvlText w:val=""/>
      <w:numFmt w:val="bullet"/>
      <w:pPr>
        <w:pBdr/>
        <w:spacing/>
        <w:ind w:hanging="360" w:left="5040"/>
      </w:pPr>
      <w:rPr>
        <w:rFonts w:ascii="Symbol" w:hAnsi="Symbol"/>
      </w:rPr>
      <w:start w:val="0"/>
      <w:suff w:val="tab"/>
    </w:lvl>
    <w:lvl w:ilvl="7">
      <w:isLgl w:val="false"/>
      <w:lvlJc w:val="left"/>
      <w:lvlText w:val="o"/>
      <w:numFmt w:val="bullet"/>
      <w:pPr>
        <w:pBdr/>
        <w:spacing/>
        <w:ind w:hanging="360" w:left="5760"/>
      </w:pPr>
      <w:rPr>
        <w:rFonts w:ascii="Courier New" w:hAnsi="Courier New" w:cs="Courier New"/>
      </w:rPr>
      <w:start w:val="0"/>
      <w:suff w:val="tab"/>
    </w:lvl>
    <w:lvl w:ilvl="8">
      <w:isLgl w:val="false"/>
      <w:lvlJc w:val="left"/>
      <w:lvlText w:val=""/>
      <w:numFmt w:val="bullet"/>
      <w:pPr>
        <w:pBdr/>
        <w:spacing/>
        <w:ind w:hanging="360" w:left="6480"/>
      </w:pPr>
      <w:rPr>
        <w:rFonts w:ascii="Wingdings" w:hAnsi="Wingdings"/>
      </w:rPr>
      <w:start w:val="0"/>
      <w:suff w:val="tab"/>
    </w:lvl>
  </w:abstractNum>
  <w:abstractNum w:abstractNumId="19">
    <w:nsid w:val="301C6D91"/>
    <w:lvl w:ilvl="0">
      <w:isLgl w:val="false"/>
      <w:lvlJc w:val="left"/>
      <w:lvlText w:val="-"/>
      <w:numFmt w:val="bullet"/>
      <w:pPr>
        <w:pBdr/>
        <w:spacing/>
        <w:ind w:hanging="360" w:left="720"/>
      </w:pPr>
      <w:rPr>
        <w:rFonts w:hint="default" w:ascii="Calibri" w:hAnsi="Calibri" w:eastAsia="Times"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nsid w:val="388D3A2A"/>
    <w:lvl w:ilvl="0">
      <w:isLgl w:val="false"/>
      <w:lvlJc w:val="left"/>
      <w:lvlText w:val="-"/>
      <w:numFmt w:val="bullet"/>
      <w:pPr>
        <w:pBdr/>
        <w:spacing/>
        <w:ind w:hanging="360" w:left="720"/>
      </w:pPr>
      <w:rPr>
        <w:rFonts w:hint="default" w:ascii="Calibri" w:hAnsi="Calibri" w:eastAsia="Times New Roman" w:cs="Arial"/>
      </w:rPr>
      <w:start w:val="1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39B62C7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2">
    <w:nsid w:val="3A2D06B7"/>
    <w:lvl w:ilvl="0">
      <w:isLgl w:val="false"/>
      <w:lvlJc w:val="left"/>
      <w:lvlText w:val=""/>
      <w:numFmt w:val="bullet"/>
      <w:pPr>
        <w:pBdr/>
        <w:tabs>
          <w:tab w:val="num" w:leader="none" w:pos="360"/>
        </w:tabs>
        <w:spacing/>
        <w:ind w:firstLine="0" w:left="0"/>
      </w:pPr>
      <w:pStyle w:val="1281"/>
      <w:rPr>
        <w:rFonts w:hint="default" w:ascii="Wingdings" w:hAnsi="Wingdings"/>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23">
    <w:nsid w:val="40E8556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Times New Roman"/>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4">
    <w:nsid w:val="461F6808"/>
    <w:lvl w:ilvl="0">
      <w:isLgl w:val="false"/>
      <w:lvlJc w:val="left"/>
      <w:lvlText w:val="%1."/>
      <w:numFmt w:val="decimal"/>
      <w:pPr>
        <w:pBdr/>
        <w:spacing/>
        <w:ind w:hanging="360" w:left="1776"/>
      </w:pPr>
      <w:rPr>
        <w:rFonts w:hint="default" w:ascii="Calibri" w:hAnsi="Calibri" w:cs="Calibri"/>
        <w:color w:val="auto"/>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25">
    <w:nsid w:val="49D94EC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6">
    <w:nsid w:val="4A5D08B4"/>
    <w:lvl w:ilvl="0">
      <w:isLgl w:val="false"/>
      <w:lvlJc w:val="left"/>
      <w:lvlText w:val="%1."/>
      <w:numFmt w:val="decimal"/>
      <w:pPr>
        <w:pBdr/>
        <w:spacing/>
        <w:ind w:hanging="360" w:left="1800"/>
      </w:pPr>
      <w:rPr>
        <w:rFonts w:hint="default"/>
      </w:rPr>
      <w:start w:val="1"/>
      <w:suff w:val="tab"/>
    </w:lvl>
    <w:lvl w:ilvl="1">
      <w:isLgl w:val="false"/>
      <w:lvlJc w:val="left"/>
      <w:lvlText w:val="%2."/>
      <w:numFmt w:val="lowerLetter"/>
      <w:pPr>
        <w:pBdr/>
        <w:spacing/>
        <w:ind w:hanging="360" w:left="2520"/>
      </w:pPr>
      <w:rPr/>
      <w:start w:val="1"/>
      <w:suff w:val="tab"/>
    </w:lvl>
    <w:lvl w:ilvl="2">
      <w:isLgl w:val="false"/>
      <w:lvlJc w:val="right"/>
      <w:lvlText w:val="%3."/>
      <w:numFmt w:val="lowerRoman"/>
      <w:pPr>
        <w:pBdr/>
        <w:spacing/>
        <w:ind w:hanging="180" w:left="3240"/>
      </w:pPr>
      <w:rPr/>
      <w:start w:val="1"/>
      <w:suff w:val="tab"/>
    </w:lvl>
    <w:lvl w:ilvl="3">
      <w:isLgl w:val="false"/>
      <w:lvlJc w:val="left"/>
      <w:lvlText w:val="%4."/>
      <w:numFmt w:val="decimal"/>
      <w:pPr>
        <w:pBdr/>
        <w:spacing/>
        <w:ind w:hanging="360" w:left="3960"/>
      </w:pPr>
      <w:rPr/>
      <w:start w:val="1"/>
      <w:suff w:val="tab"/>
    </w:lvl>
    <w:lvl w:ilvl="4">
      <w:isLgl w:val="false"/>
      <w:lvlJc w:val="left"/>
      <w:lvlText w:val="%5."/>
      <w:numFmt w:val="lowerLetter"/>
      <w:pPr>
        <w:pBdr/>
        <w:spacing/>
        <w:ind w:hanging="360" w:left="4680"/>
      </w:pPr>
      <w:rPr/>
      <w:start w:val="1"/>
      <w:suff w:val="tab"/>
    </w:lvl>
    <w:lvl w:ilvl="5">
      <w:isLgl w:val="false"/>
      <w:lvlJc w:val="right"/>
      <w:lvlText w:val="%6."/>
      <w:numFmt w:val="lowerRoman"/>
      <w:pPr>
        <w:pBdr/>
        <w:spacing/>
        <w:ind w:hanging="180" w:left="5400"/>
      </w:pPr>
      <w:rPr/>
      <w:start w:val="1"/>
      <w:suff w:val="tab"/>
    </w:lvl>
    <w:lvl w:ilvl="6">
      <w:isLgl w:val="false"/>
      <w:lvlJc w:val="left"/>
      <w:lvlText w:val="%7."/>
      <w:numFmt w:val="decimal"/>
      <w:pPr>
        <w:pBdr/>
        <w:spacing/>
        <w:ind w:hanging="360" w:left="6120"/>
      </w:pPr>
      <w:rPr/>
      <w:start w:val="1"/>
      <w:suff w:val="tab"/>
    </w:lvl>
    <w:lvl w:ilvl="7">
      <w:isLgl w:val="false"/>
      <w:lvlJc w:val="left"/>
      <w:lvlText w:val="%8."/>
      <w:numFmt w:val="lowerLetter"/>
      <w:pPr>
        <w:pBdr/>
        <w:spacing/>
        <w:ind w:hanging="360" w:left="6840"/>
      </w:pPr>
      <w:rPr/>
      <w:start w:val="1"/>
      <w:suff w:val="tab"/>
    </w:lvl>
    <w:lvl w:ilvl="8">
      <w:isLgl w:val="false"/>
      <w:lvlJc w:val="right"/>
      <w:lvlText w:val="%9."/>
      <w:numFmt w:val="lowerRoman"/>
      <w:pPr>
        <w:pBdr/>
        <w:spacing/>
        <w:ind w:hanging="180" w:left="7560"/>
      </w:pPr>
      <w:rPr/>
      <w:start w:val="1"/>
      <w:suff w:val="tab"/>
    </w:lvl>
  </w:abstractNum>
  <w:abstractNum w:abstractNumId="27">
    <w:nsid w:val="4B9C619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nsid w:val="4BF070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nsid w:val="4CE35B64"/>
    <w:lvl w:ilvl="0">
      <w:isLgl w:val="false"/>
      <w:lvlJc w:val="left"/>
      <w:lvlText w:val=""/>
      <w:numFmt w:val="bullet"/>
      <w:pPr>
        <w:pBdr/>
        <w:tabs>
          <w:tab w:val="num" w:leader="none" w:pos="770"/>
        </w:tabs>
        <w:spacing/>
        <w:ind w:hanging="360" w:left="770"/>
      </w:pPr>
      <w:rPr>
        <w:rFonts w:hint="default" w:ascii="Symbol" w:hAnsi="Symbol"/>
      </w:rPr>
      <w:start w:val="1"/>
      <w:suff w:val="tab"/>
    </w:lvl>
    <w:lvl w:ilvl="1">
      <w:isLgl w:val="false"/>
      <w:lvlJc w:val="left"/>
      <w:lvlText w:val="o"/>
      <w:numFmt w:val="bullet"/>
      <w:pPr>
        <w:pBdr/>
        <w:tabs>
          <w:tab w:val="num" w:leader="none" w:pos="1490"/>
        </w:tabs>
        <w:spacing/>
        <w:ind w:hanging="360" w:left="1490"/>
      </w:pPr>
      <w:rPr>
        <w:rFonts w:hint="default" w:ascii="Courier New" w:hAnsi="Courier New"/>
      </w:rPr>
      <w:start w:val="1"/>
      <w:suff w:val="tab"/>
    </w:lvl>
    <w:lvl w:ilvl="2">
      <w:isLgl w:val="false"/>
      <w:lvlJc w:val="left"/>
      <w:lvlText w:val=""/>
      <w:numFmt w:val="bullet"/>
      <w:pPr>
        <w:pBdr/>
        <w:tabs>
          <w:tab w:val="num" w:leader="none" w:pos="2210"/>
        </w:tabs>
        <w:spacing/>
        <w:ind w:hanging="360" w:left="2210"/>
      </w:pPr>
      <w:rPr>
        <w:rFonts w:hint="default" w:ascii="Wingdings" w:hAnsi="Wingdings"/>
      </w:rPr>
      <w:start w:val="1"/>
      <w:suff w:val="tab"/>
    </w:lvl>
    <w:lvl w:ilvl="3">
      <w:isLgl w:val="false"/>
      <w:lvlJc w:val="left"/>
      <w:lvlText w:val=""/>
      <w:numFmt w:val="bullet"/>
      <w:pPr>
        <w:pBdr/>
        <w:tabs>
          <w:tab w:val="num" w:leader="none" w:pos="2930"/>
        </w:tabs>
        <w:spacing/>
        <w:ind w:hanging="360" w:left="2930"/>
      </w:pPr>
      <w:rPr>
        <w:rFonts w:hint="default" w:ascii="Symbol" w:hAnsi="Symbol"/>
      </w:rPr>
      <w:start w:val="1"/>
      <w:suff w:val="tab"/>
    </w:lvl>
    <w:lvl w:ilvl="4">
      <w:isLgl w:val="false"/>
      <w:lvlJc w:val="left"/>
      <w:lvlText w:val="o"/>
      <w:numFmt w:val="bullet"/>
      <w:pPr>
        <w:pBdr/>
        <w:tabs>
          <w:tab w:val="num" w:leader="none" w:pos="3650"/>
        </w:tabs>
        <w:spacing/>
        <w:ind w:hanging="360" w:left="3650"/>
      </w:pPr>
      <w:rPr>
        <w:rFonts w:hint="default" w:ascii="Courier New" w:hAnsi="Courier New"/>
      </w:rPr>
      <w:start w:val="1"/>
      <w:suff w:val="tab"/>
    </w:lvl>
    <w:lvl w:ilvl="5">
      <w:isLgl w:val="false"/>
      <w:lvlJc w:val="left"/>
      <w:lvlText w:val=""/>
      <w:numFmt w:val="bullet"/>
      <w:pPr>
        <w:pBdr/>
        <w:tabs>
          <w:tab w:val="num" w:leader="none" w:pos="4370"/>
        </w:tabs>
        <w:spacing/>
        <w:ind w:hanging="360" w:left="4370"/>
      </w:pPr>
      <w:rPr>
        <w:rFonts w:hint="default" w:ascii="Wingdings" w:hAnsi="Wingdings"/>
      </w:rPr>
      <w:start w:val="1"/>
      <w:suff w:val="tab"/>
    </w:lvl>
    <w:lvl w:ilvl="6">
      <w:isLgl w:val="false"/>
      <w:lvlJc w:val="left"/>
      <w:lvlText w:val=""/>
      <w:numFmt w:val="bullet"/>
      <w:pPr>
        <w:pBdr/>
        <w:tabs>
          <w:tab w:val="num" w:leader="none" w:pos="5090"/>
        </w:tabs>
        <w:spacing/>
        <w:ind w:hanging="360" w:left="5090"/>
      </w:pPr>
      <w:rPr>
        <w:rFonts w:hint="default" w:ascii="Symbol" w:hAnsi="Symbol"/>
      </w:rPr>
      <w:start w:val="1"/>
      <w:suff w:val="tab"/>
    </w:lvl>
    <w:lvl w:ilvl="7">
      <w:isLgl w:val="false"/>
      <w:lvlJc w:val="left"/>
      <w:lvlText w:val="o"/>
      <w:numFmt w:val="bullet"/>
      <w:pPr>
        <w:pBdr/>
        <w:tabs>
          <w:tab w:val="num" w:leader="none" w:pos="5810"/>
        </w:tabs>
        <w:spacing/>
        <w:ind w:hanging="360" w:left="5810"/>
      </w:pPr>
      <w:rPr>
        <w:rFonts w:hint="default" w:ascii="Courier New" w:hAnsi="Courier New"/>
      </w:rPr>
      <w:start w:val="1"/>
      <w:suff w:val="tab"/>
    </w:lvl>
    <w:lvl w:ilvl="8">
      <w:isLgl w:val="false"/>
      <w:lvlJc w:val="left"/>
      <w:lvlText w:val=""/>
      <w:numFmt w:val="bullet"/>
      <w:pPr>
        <w:pBdr/>
        <w:tabs>
          <w:tab w:val="num" w:leader="none" w:pos="6530"/>
        </w:tabs>
        <w:spacing/>
        <w:ind w:hanging="360" w:left="6530"/>
      </w:pPr>
      <w:rPr>
        <w:rFonts w:hint="default" w:ascii="Wingdings" w:hAnsi="Wingdings"/>
      </w:rPr>
      <w:start w:val="1"/>
      <w:suff w:val="tab"/>
    </w:lvl>
  </w:abstractNum>
  <w:abstractNum w:abstractNumId="30">
    <w:nsid w:val="4E734CA1"/>
    <w:lvl w:ilvl="0">
      <w:isLgl w:val="false"/>
      <w:lvlJc w:val="left"/>
      <w:lvlText w:val=""/>
      <w:numFmt w:val="bullet"/>
      <w:pPr>
        <w:pBdr/>
        <w:tabs>
          <w:tab w:val="num" w:leader="none" w:pos="360"/>
        </w:tabs>
        <w:spacing/>
        <w:ind w:hanging="360" w:left="360"/>
      </w:pPr>
      <w:pStyle w:val="1270"/>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31">
    <w:nsid w:val="4EB66E9E"/>
    <w:lvl w:ilvl="0">
      <w:isLgl w:val="false"/>
      <w:lvlJc w:val="left"/>
      <w:lvlText w:val="%1."/>
      <w:numFmt w:val="decimal"/>
      <w:pPr>
        <w:pBdr/>
        <w:spacing/>
        <w:ind w:hanging="360" w:left="720"/>
      </w:pPr>
      <w:rPr>
        <w:rFonts w:hint="default" w:cs="Times New Roman" w:asciiTheme="minorHAnsi" w:hAnsiTheme="minorHAnsi"/>
        <w:color w:val="00000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54BB5E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3">
    <w:nsid w:val="5CCA69F2"/>
    <w:lvl w:ilvl="0">
      <w:isLgl w:val="false"/>
      <w:lvlJc w:val="left"/>
      <w:lvlText w:val="%1."/>
      <w:numFmt w:val="decimal"/>
      <w:pPr>
        <w:pBdr/>
        <w:spacing/>
        <w:ind w:hanging="360" w:left="1776"/>
      </w:pPr>
      <w:rPr>
        <w:rFonts w:hint="default"/>
      </w:rPr>
      <w:start w:val="1"/>
      <w:suff w:val="tab"/>
    </w:lvl>
    <w:lvl w:ilvl="1">
      <w:isLgl w:val="false"/>
      <w:lvlJc w:val="left"/>
      <w:lvlText w:val="%2."/>
      <w:numFmt w:val="lowerLetter"/>
      <w:pPr>
        <w:pBdr/>
        <w:spacing/>
        <w:ind w:hanging="360" w:left="2496"/>
      </w:pPr>
      <w:rPr/>
      <w:start w:val="1"/>
      <w:suff w:val="tab"/>
    </w:lvl>
    <w:lvl w:ilvl="2">
      <w:isLgl w:val="false"/>
      <w:lvlJc w:val="right"/>
      <w:lvlText w:val="%3."/>
      <w:numFmt w:val="lowerRoman"/>
      <w:pPr>
        <w:pBdr/>
        <w:spacing/>
        <w:ind w:hanging="180" w:left="3216"/>
      </w:pPr>
      <w:rPr/>
      <w:start w:val="1"/>
      <w:suff w:val="tab"/>
    </w:lvl>
    <w:lvl w:ilvl="3">
      <w:isLgl w:val="false"/>
      <w:lvlJc w:val="left"/>
      <w:lvlText w:val="%4."/>
      <w:numFmt w:val="decimal"/>
      <w:pPr>
        <w:pBdr/>
        <w:spacing/>
        <w:ind w:hanging="360" w:left="3936"/>
      </w:pPr>
      <w:rPr/>
      <w:start w:val="1"/>
      <w:suff w:val="tab"/>
    </w:lvl>
    <w:lvl w:ilvl="4">
      <w:isLgl w:val="false"/>
      <w:lvlJc w:val="left"/>
      <w:lvlText w:val="%5."/>
      <w:numFmt w:val="lowerLetter"/>
      <w:pPr>
        <w:pBdr/>
        <w:spacing/>
        <w:ind w:hanging="360" w:left="4656"/>
      </w:pPr>
      <w:rPr/>
      <w:start w:val="1"/>
      <w:suff w:val="tab"/>
    </w:lvl>
    <w:lvl w:ilvl="5">
      <w:isLgl w:val="false"/>
      <w:lvlJc w:val="right"/>
      <w:lvlText w:val="%6."/>
      <w:numFmt w:val="lowerRoman"/>
      <w:pPr>
        <w:pBdr/>
        <w:spacing/>
        <w:ind w:hanging="180" w:left="5376"/>
      </w:pPr>
      <w:rPr/>
      <w:start w:val="1"/>
      <w:suff w:val="tab"/>
    </w:lvl>
    <w:lvl w:ilvl="6">
      <w:isLgl w:val="false"/>
      <w:lvlJc w:val="left"/>
      <w:lvlText w:val="%7."/>
      <w:numFmt w:val="decimal"/>
      <w:pPr>
        <w:pBdr/>
        <w:spacing/>
        <w:ind w:hanging="360" w:left="6096"/>
      </w:pPr>
      <w:rPr/>
      <w:start w:val="1"/>
      <w:suff w:val="tab"/>
    </w:lvl>
    <w:lvl w:ilvl="7">
      <w:isLgl w:val="false"/>
      <w:lvlJc w:val="left"/>
      <w:lvlText w:val="%8."/>
      <w:numFmt w:val="lowerLetter"/>
      <w:pPr>
        <w:pBdr/>
        <w:spacing/>
        <w:ind w:hanging="360" w:left="6816"/>
      </w:pPr>
      <w:rPr/>
      <w:start w:val="1"/>
      <w:suff w:val="tab"/>
    </w:lvl>
    <w:lvl w:ilvl="8">
      <w:isLgl w:val="false"/>
      <w:lvlJc w:val="right"/>
      <w:lvlText w:val="%9."/>
      <w:numFmt w:val="lowerRoman"/>
      <w:pPr>
        <w:pBdr/>
        <w:spacing/>
        <w:ind w:hanging="180" w:left="7536"/>
      </w:pPr>
      <w:rPr/>
      <w:start w:val="1"/>
      <w:suff w:val="tab"/>
    </w:lvl>
  </w:abstractNum>
  <w:abstractNum w:abstractNumId="34">
    <w:nsid w:val="5E2E5683"/>
    <w:lvl w:ilvl="0">
      <w:isLgl w:val="false"/>
      <w:lvlJc w:val="left"/>
      <w:lvlText w:val="-"/>
      <w:numFmt w:val="bullet"/>
      <w:pPr>
        <w:pBdr/>
        <w:tabs>
          <w:tab w:val="num" w:leader="none" w:pos="720"/>
        </w:tabs>
        <w:spacing/>
        <w:ind w:hanging="360" w:left="720"/>
      </w:pPr>
      <w:rPr>
        <w:rFonts w:hint="default" w:ascii="Calibri" w:hAnsi="Calibri" w:eastAsia="Times" w:cs="Calibri"/>
        <w:sz w:val="20"/>
      </w:rPr>
      <w:start w:val="15"/>
      <w:suff w:val="tab"/>
    </w:lvl>
    <w:lvl w:ilvl="1">
      <w:isLgl w:val="false"/>
      <w:lvlJc w:val="left"/>
      <w:lvlText w:val="o"/>
      <w:numFmt w:val="bullet"/>
      <w:pPr>
        <w:pBdr/>
        <w:tabs>
          <w:tab w:val="num" w:leader="none" w:pos="1440"/>
        </w:tabs>
        <w:spacing/>
        <w:ind w:hanging="360" w:left="1440"/>
      </w:pPr>
      <w:rPr>
        <w:rFonts w:hint="default" w:ascii="Courier New" w:hAnsi="Courier New" w:cs="Times New Roman"/>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5">
    <w:nsid w:val="5FE17550"/>
    <w:lvl w:ilvl="0">
      <w:isLgl w:val="false"/>
      <w:lvlJc w:val="left"/>
      <w:lvlText w:val="-"/>
      <w:numFmt w:val="bullet"/>
      <w:pPr>
        <w:pBdr/>
        <w:spacing/>
        <w:ind w:hanging="360" w:left="720"/>
      </w:pPr>
      <w:rPr>
        <w:rFonts w:hint="default" w:ascii="Calibri" w:hAnsi="Calibri" w:eastAsiaTheme="minorHAnsi" w:cstheme="minorBid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nsid w:val="632B3DD6"/>
    <w:lvl w:ilvl="0">
      <w:isLgl w:val="false"/>
      <w:lvlJc w:val="left"/>
      <w:lvlText w:val=""/>
      <w:numFmt w:val="bullet"/>
      <w:pPr>
        <w:pBdr/>
        <w:spacing/>
        <w:ind w:hanging="360" w:left="731"/>
      </w:pPr>
      <w:rPr>
        <w:rFonts w:hint="default" w:ascii="Wingdings" w:hAnsi="Wingdings"/>
      </w:rPr>
      <w:start w:val="1"/>
      <w:suff w:val="tab"/>
    </w:lvl>
    <w:lvl w:ilvl="1">
      <w:isLgl w:val="false"/>
      <w:lvlJc w:val="left"/>
      <w:lvlText w:val="o"/>
      <w:numFmt w:val="bullet"/>
      <w:pPr>
        <w:pBdr/>
        <w:spacing/>
        <w:ind w:hanging="360" w:left="1451"/>
      </w:pPr>
      <w:rPr>
        <w:rFonts w:hint="default" w:ascii="Courier New" w:hAnsi="Courier New"/>
      </w:rPr>
      <w:start w:val="1"/>
      <w:suff w:val="tab"/>
    </w:lvl>
    <w:lvl w:ilvl="2">
      <w:isLgl w:val="false"/>
      <w:lvlJc w:val="left"/>
      <w:lvlText w:val=""/>
      <w:numFmt w:val="bullet"/>
      <w:pPr>
        <w:pBdr/>
        <w:spacing/>
        <w:ind w:hanging="360" w:left="2171"/>
      </w:pPr>
      <w:rPr>
        <w:rFonts w:hint="default" w:ascii="Wingdings" w:hAnsi="Wingdings"/>
      </w:rPr>
      <w:start w:val="1"/>
      <w:suff w:val="tab"/>
    </w:lvl>
    <w:lvl w:ilvl="3">
      <w:isLgl w:val="false"/>
      <w:lvlJc w:val="left"/>
      <w:lvlText w:val=""/>
      <w:numFmt w:val="bullet"/>
      <w:pPr>
        <w:pBdr/>
        <w:spacing/>
        <w:ind w:hanging="360" w:left="2891"/>
      </w:pPr>
      <w:rPr>
        <w:rFonts w:hint="default" w:ascii="Symbol" w:hAnsi="Symbol"/>
      </w:rPr>
      <w:start w:val="1"/>
      <w:suff w:val="tab"/>
    </w:lvl>
    <w:lvl w:ilvl="4">
      <w:isLgl w:val="false"/>
      <w:lvlJc w:val="left"/>
      <w:lvlText w:val="o"/>
      <w:numFmt w:val="bullet"/>
      <w:pPr>
        <w:pBdr/>
        <w:spacing/>
        <w:ind w:hanging="360" w:left="3611"/>
      </w:pPr>
      <w:rPr>
        <w:rFonts w:hint="default" w:ascii="Courier New" w:hAnsi="Courier New"/>
      </w:rPr>
      <w:start w:val="1"/>
      <w:suff w:val="tab"/>
    </w:lvl>
    <w:lvl w:ilvl="5">
      <w:isLgl w:val="false"/>
      <w:lvlJc w:val="left"/>
      <w:lvlText w:val=""/>
      <w:numFmt w:val="bullet"/>
      <w:pPr>
        <w:pBdr/>
        <w:spacing/>
        <w:ind w:hanging="360" w:left="4331"/>
      </w:pPr>
      <w:rPr>
        <w:rFonts w:hint="default" w:ascii="Wingdings" w:hAnsi="Wingdings"/>
      </w:rPr>
      <w:start w:val="1"/>
      <w:suff w:val="tab"/>
    </w:lvl>
    <w:lvl w:ilvl="6">
      <w:isLgl w:val="false"/>
      <w:lvlJc w:val="left"/>
      <w:lvlText w:val=""/>
      <w:numFmt w:val="bullet"/>
      <w:pPr>
        <w:pBdr/>
        <w:spacing/>
        <w:ind w:hanging="360" w:left="5051"/>
      </w:pPr>
      <w:rPr>
        <w:rFonts w:hint="default" w:ascii="Symbol" w:hAnsi="Symbol"/>
      </w:rPr>
      <w:start w:val="1"/>
      <w:suff w:val="tab"/>
    </w:lvl>
    <w:lvl w:ilvl="7">
      <w:isLgl w:val="false"/>
      <w:lvlJc w:val="left"/>
      <w:lvlText w:val="o"/>
      <w:numFmt w:val="bullet"/>
      <w:pPr>
        <w:pBdr/>
        <w:spacing/>
        <w:ind w:hanging="360" w:left="5771"/>
      </w:pPr>
      <w:rPr>
        <w:rFonts w:hint="default" w:ascii="Courier New" w:hAnsi="Courier New"/>
      </w:rPr>
      <w:start w:val="1"/>
      <w:suff w:val="tab"/>
    </w:lvl>
    <w:lvl w:ilvl="8">
      <w:isLgl w:val="false"/>
      <w:lvlJc w:val="left"/>
      <w:lvlText w:val=""/>
      <w:numFmt w:val="bullet"/>
      <w:pPr>
        <w:pBdr/>
        <w:spacing/>
        <w:ind w:hanging="360" w:left="6491"/>
      </w:pPr>
      <w:rPr>
        <w:rFonts w:hint="default" w:ascii="Wingdings" w:hAnsi="Wingdings"/>
      </w:rPr>
      <w:start w:val="1"/>
      <w:suff w:val="tab"/>
    </w:lvl>
  </w:abstractNum>
  <w:abstractNum w:abstractNumId="37">
    <w:nsid w:val="6BEE629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nsid w:val="6D1F0D74"/>
    <w:lvl w:ilvl="0">
      <w:isLgl w:val="false"/>
      <w:lvlJc w:val="left"/>
      <w:lvlText w:val="o"/>
      <w:numFmt w:val="bullet"/>
      <w:pPr>
        <w:pBdr/>
        <w:tabs>
          <w:tab w:val="num" w:leader="none" w:pos="1080"/>
        </w:tabs>
        <w:spacing/>
        <w:ind w:hanging="360" w:left="1080"/>
      </w:pPr>
      <w:rPr>
        <w:rFonts w:hint="default" w:ascii="Courier New" w:hAnsi="Courier New" w:cs="Courier New"/>
      </w:rPr>
      <w:start w:val="1"/>
      <w:suff w:val="tab"/>
    </w:lvl>
    <w:lvl w:ilvl="1">
      <w:isLgl w:val="false"/>
      <w:lvlJc w:val="left"/>
      <w:lvlText w:val="o"/>
      <w:numFmt w:val="bullet"/>
      <w:pPr>
        <w:pBdr/>
        <w:tabs>
          <w:tab w:val="num" w:leader="none" w:pos="1800"/>
        </w:tabs>
        <w:spacing/>
        <w:ind w:hanging="360" w:left="1800"/>
      </w:pPr>
      <w:rPr>
        <w:rFonts w:hint="default" w:ascii="Courier New" w:hAnsi="Courier New" w:cs="Courier New"/>
      </w:rPr>
      <w:start w:val="1"/>
      <w:suff w:val="tab"/>
    </w:lvl>
    <w:lvl w:ilvl="2">
      <w:isLgl w:val="false"/>
      <w:lvlJc w:val="left"/>
      <w:lvlText w:val=""/>
      <w:numFmt w:val="bullet"/>
      <w:pPr>
        <w:pBdr/>
        <w:tabs>
          <w:tab w:val="num" w:leader="none" w:pos="2520"/>
        </w:tabs>
        <w:spacing/>
        <w:ind w:hanging="360" w:left="2520"/>
      </w:pPr>
      <w:rPr>
        <w:rFonts w:hint="default" w:ascii="Wingdings" w:hAnsi="Wingdings" w:cs="Wingdings"/>
      </w:rPr>
      <w:start w:val="1"/>
      <w:suff w:val="tab"/>
    </w:lvl>
    <w:lvl w:ilvl="3">
      <w:isLgl w:val="false"/>
      <w:lvlJc w:val="left"/>
      <w:lvlText w:val=""/>
      <w:numFmt w:val="bullet"/>
      <w:pPr>
        <w:pBdr/>
        <w:tabs>
          <w:tab w:val="num" w:leader="none" w:pos="3240"/>
        </w:tabs>
        <w:spacing/>
        <w:ind w:hanging="360" w:left="3240"/>
      </w:pPr>
      <w:rPr>
        <w:rFonts w:hint="default" w:ascii="Symbol" w:hAnsi="Symbol" w:cs="Symbol"/>
      </w:rPr>
      <w:start w:val="1"/>
      <w:suff w:val="tab"/>
    </w:lvl>
    <w:lvl w:ilvl="4">
      <w:isLgl w:val="false"/>
      <w:lvlJc w:val="left"/>
      <w:lvlText w:val="o"/>
      <w:numFmt w:val="bullet"/>
      <w:pPr>
        <w:pBdr/>
        <w:tabs>
          <w:tab w:val="num" w:leader="none" w:pos="3960"/>
        </w:tabs>
        <w:spacing/>
        <w:ind w:hanging="360" w:left="3960"/>
      </w:pPr>
      <w:rPr>
        <w:rFonts w:hint="default" w:ascii="Courier New" w:hAnsi="Courier New" w:cs="Courier New"/>
      </w:rPr>
      <w:start w:val="1"/>
      <w:suff w:val="tab"/>
    </w:lvl>
    <w:lvl w:ilvl="5">
      <w:isLgl w:val="false"/>
      <w:lvlJc w:val="left"/>
      <w:lvlText w:val=""/>
      <w:numFmt w:val="bullet"/>
      <w:pPr>
        <w:pBdr/>
        <w:tabs>
          <w:tab w:val="num" w:leader="none" w:pos="4680"/>
        </w:tabs>
        <w:spacing/>
        <w:ind w:hanging="360" w:left="4680"/>
      </w:pPr>
      <w:rPr>
        <w:rFonts w:hint="default" w:ascii="Wingdings" w:hAnsi="Wingdings" w:cs="Wingdings"/>
      </w:rPr>
      <w:start w:val="1"/>
      <w:suff w:val="tab"/>
    </w:lvl>
    <w:lvl w:ilvl="6">
      <w:isLgl w:val="false"/>
      <w:lvlJc w:val="left"/>
      <w:lvlText w:val=""/>
      <w:numFmt w:val="bullet"/>
      <w:pPr>
        <w:pBdr/>
        <w:tabs>
          <w:tab w:val="num" w:leader="none" w:pos="5400"/>
        </w:tabs>
        <w:spacing/>
        <w:ind w:hanging="360" w:left="5400"/>
      </w:pPr>
      <w:rPr>
        <w:rFonts w:hint="default" w:ascii="Symbol" w:hAnsi="Symbol" w:cs="Symbol"/>
      </w:rPr>
      <w:start w:val="1"/>
      <w:suff w:val="tab"/>
    </w:lvl>
    <w:lvl w:ilvl="7">
      <w:isLgl w:val="false"/>
      <w:lvlJc w:val="left"/>
      <w:lvlText w:val="o"/>
      <w:numFmt w:val="bullet"/>
      <w:pPr>
        <w:pBdr/>
        <w:tabs>
          <w:tab w:val="num" w:leader="none" w:pos="6120"/>
        </w:tabs>
        <w:spacing/>
        <w:ind w:hanging="360" w:left="6120"/>
      </w:pPr>
      <w:rPr>
        <w:rFonts w:hint="default" w:ascii="Courier New" w:hAnsi="Courier New" w:cs="Courier New"/>
      </w:rPr>
      <w:start w:val="1"/>
      <w:suff w:val="tab"/>
    </w:lvl>
    <w:lvl w:ilvl="8">
      <w:isLgl w:val="false"/>
      <w:lvlJc w:val="left"/>
      <w:lvlText w:val=""/>
      <w:numFmt w:val="bullet"/>
      <w:pPr>
        <w:pBdr/>
        <w:tabs>
          <w:tab w:val="num" w:leader="none" w:pos="6840"/>
        </w:tabs>
        <w:spacing/>
        <w:ind w:hanging="360" w:left="6840"/>
      </w:pPr>
      <w:rPr>
        <w:rFonts w:hint="default" w:ascii="Wingdings" w:hAnsi="Wingdings" w:cs="Wingdings"/>
      </w:rPr>
      <w:start w:val="1"/>
      <w:suff w:val="tab"/>
    </w:lvl>
  </w:abstractNum>
  <w:abstractNum w:abstractNumId="39">
    <w:nsid w:val="6FDC236F"/>
    <w:lvl w:ilvl="0">
      <w:isLgl w:val="false"/>
      <w:lvlJc w:val="left"/>
      <w:lvlText w:val=""/>
      <w:numFmt w:val="bullet"/>
      <w:pPr>
        <w:pBdr/>
        <w:tabs>
          <w:tab w:val="num" w:leader="none" w:pos="360"/>
        </w:tabs>
        <w:spacing/>
        <w:ind w:hanging="360" w:left="360"/>
      </w:pPr>
      <w:rPr>
        <w:rFonts w:hint="default" w:ascii="Wingdings" w:hAnsi="Wingdings"/>
        <w:sz w:val="2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0">
    <w:nsid w:val="75EC390B"/>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nsid w:val="76863F6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nsid w:val="773166CB"/>
    <w:lvl w:ilvl="0">
      <w:isLgl w:val="false"/>
      <w:lvlJc w:val="left"/>
      <w:lvlText w:val="-"/>
      <w:numFmt w:val="bullet"/>
      <w:pPr>
        <w:pBdr/>
        <w:tabs>
          <w:tab w:val="num" w:leader="none" w:pos="720"/>
        </w:tabs>
        <w:spacing/>
        <w:ind w:hanging="360" w:left="720"/>
      </w:pPr>
      <w:rPr>
        <w:rFonts w:hint="default" w:ascii="Arial" w:hAnsi="Arial" w:eastAsia="Times New Roman"/>
      </w:rPr>
      <w:start w:val="0"/>
      <w:suff w:val="tab"/>
    </w:lvl>
    <w:lvl w:ilvl="1">
      <w:isLgl w:val="false"/>
      <w:lvlJc w:val="left"/>
      <w:lvlText w:val="o"/>
      <w:numFmt w:val="bullet"/>
      <w:pPr>
        <w:pBdr/>
        <w:tabs>
          <w:tab w:val="num" w:leader="none" w:pos="1440"/>
        </w:tabs>
        <w:spacing/>
        <w:ind w:hanging="360" w:left="1440"/>
      </w:pPr>
      <w:rPr>
        <w:rFonts w:hint="default" w:ascii="Courier New" w:hAnsi="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43">
    <w:nsid w:val="77C5033C"/>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nsid w:val="79A038C6"/>
    <w:lvl w:ilvl="0">
      <w:isLgl w:val="false"/>
      <w:lvlJc w:val="left"/>
      <w:lvlText w:val=""/>
      <w:numFmt w:val="bullet"/>
      <w:pPr>
        <w:pBdr/>
        <w:spacing/>
        <w:ind w:hanging="360" w:left="720"/>
      </w:pPr>
      <w:rPr>
        <w:rFonts w:hint="default" w:ascii="Wingdings" w:hAnsi="Wingdings"/>
        <w:u w:val="none"/>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nsid w:val="7FA937C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0"/>
  </w:num>
  <w:num w:numId="2">
    <w:abstractNumId w:val="9"/>
  </w:num>
  <w:num w:numId="3">
    <w:abstractNumId w:val="30"/>
  </w:num>
  <w:num w:numId="4">
    <w:abstractNumId w:val="5"/>
  </w:num>
  <w:num w:numId="5">
    <w:abstractNumId w:val="22"/>
  </w:num>
  <w:num w:numId="6">
    <w:abstractNumId w:val="11"/>
  </w:num>
  <w:num w:numId="7">
    <w:abstractNumId w:val="19"/>
  </w:num>
  <w:num w:numId="8">
    <w:abstractNumId w:val="31"/>
  </w:num>
  <w:num w:numId="9">
    <w:abstractNumId w:val="14"/>
  </w:num>
  <w:num w:numId="10">
    <w:abstractNumId w:val="35"/>
  </w:num>
  <w:num w:numId="11">
    <w:abstractNumId w:val="2"/>
  </w:num>
  <w:num w:numId="12">
    <w:abstractNumId w:val="13"/>
  </w:num>
  <w:num w:numId="13">
    <w:abstractNumId w:val="33"/>
  </w:num>
  <w:num w:numId="14">
    <w:abstractNumId w:val="26"/>
  </w:num>
  <w:num w:numId="15">
    <w:abstractNumId w:val="38"/>
  </w:num>
  <w:num w:numId="16">
    <w:abstractNumId w:val="4"/>
  </w:num>
  <w:num w:numId="17">
    <w:abstractNumId w:val="24"/>
  </w:num>
  <w:num w:numId="18">
    <w:abstractNumId w:val="20"/>
  </w:num>
  <w:num w:numId="19">
    <w:abstractNumId w:val="15"/>
  </w:num>
  <w:num w:numId="20">
    <w:abstractNumId w:val="8"/>
  </w:num>
  <w:num w:numId="21">
    <w:abstractNumId w:val="6"/>
  </w:num>
  <w:num w:numId="22">
    <w:abstractNumId w:val="43"/>
  </w:num>
  <w:num w:numId="23">
    <w:abstractNumId w:val="1"/>
  </w:num>
  <w:num w:numId="24">
    <w:abstractNumId w:val="16"/>
  </w:num>
  <w:num w:numId="25">
    <w:abstractNumId w:val="39"/>
  </w:num>
  <w:num w:numId="26">
    <w:abstractNumId w:val="17"/>
  </w:num>
  <w:num w:numId="27">
    <w:abstractNumId w:val="44"/>
  </w:num>
  <w:num w:numId="28">
    <w:abstractNumId w:val="36"/>
  </w:num>
  <w:num w:numId="29">
    <w:abstractNumId w:val="40"/>
  </w:num>
  <w:num w:numId="30">
    <w:abstractNumId w:val="29"/>
  </w:num>
  <w:num w:numId="31">
    <w:abstractNumId w:val="37"/>
  </w:num>
  <w:num w:numId="32">
    <w:abstractNumId w:val="41"/>
  </w:num>
  <w:num w:numId="33">
    <w:abstractNumId w:val="12"/>
  </w:num>
  <w:num w:numId="34">
    <w:abstractNumId w:val="18"/>
  </w:num>
  <w:num w:numId="35">
    <w:abstractNumId w:val="10"/>
  </w:num>
  <w:num w:numId="36">
    <w:abstractNumId w:val="28"/>
  </w:num>
  <w:num w:numId="37">
    <w:abstractNumId w:val="27"/>
  </w:num>
  <w:num w:numId="38">
    <w:abstractNumId w:val="42"/>
  </w:num>
  <w:num w:numId="39">
    <w:abstractNumId w:val="45"/>
  </w:num>
  <w:num w:numId="40">
    <w:abstractNumId w:val="3"/>
  </w:num>
  <w:num w:numId="41">
    <w:abstractNumId w:val="25"/>
  </w:num>
  <w:num w:numId="42">
    <w:abstractNumId w:val="32"/>
  </w:num>
  <w:num w:numId="43">
    <w:abstractNumId w:val="21"/>
  </w:num>
  <w:num w:numId="44">
    <w:abstractNumId w:val="7"/>
  </w:num>
  <w:num w:numId="45">
    <w:abstractNumId w:val="23"/>
  </w:num>
  <w:num w:numId="46">
    <w:abstractNumId w:val="34"/>
  </w:num>
  <w:num w:numId="47">
    <w:abstractNumId w:val="20"/>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w:hAnsi="Times" w:eastAsia="Times" w:cs="Times New Roman"/>
        <w:lang w:val="fr-FR" w:eastAsia="fr-FR"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1" w:default="1">
    <w:name w:val="Normal"/>
    <w:qFormat/>
    <w:pPr>
      <w:pBdr/>
      <w:spacing w:line="300" w:lineRule="atLeast"/>
      <w:ind/>
    </w:pPr>
    <w:rPr>
      <w:rFonts w:ascii="Arial" w:hAnsi="Arial"/>
    </w:rPr>
  </w:style>
  <w:style w:type="paragraph" w:styleId="1072">
    <w:name w:val="Heading 1"/>
    <w:basedOn w:val="1071"/>
    <w:next w:val="1071"/>
    <w:link w:val="1222"/>
    <w:qFormat/>
    <w:pPr>
      <w:keepNext w:val="true"/>
      <w:pBdr/>
      <w:spacing w:line="440" w:lineRule="exact"/>
      <w:ind/>
      <w:outlineLvl w:val="0"/>
    </w:pPr>
    <w:rPr>
      <w:rFonts w:cs="Arial"/>
      <w:b/>
      <w:bCs/>
      <w:caps/>
    </w:rPr>
  </w:style>
  <w:style w:type="paragraph" w:styleId="1073">
    <w:name w:val="Heading 2"/>
    <w:basedOn w:val="1071"/>
    <w:next w:val="1071"/>
    <w:link w:val="1301"/>
    <w:qFormat/>
    <w:pPr>
      <w:keepNext w:val="true"/>
      <w:widowControl w:val="false"/>
      <w:pBdr/>
      <w:spacing/>
      <w:ind/>
      <w:outlineLvl w:val="1"/>
    </w:pPr>
    <w:rPr>
      <w:rFonts w:cs="Arial"/>
      <w:b/>
      <w:bCs/>
      <w:sz w:val="18"/>
    </w:rPr>
  </w:style>
  <w:style w:type="paragraph" w:styleId="1074">
    <w:name w:val="Heading 3"/>
    <w:basedOn w:val="1071"/>
    <w:next w:val="1071"/>
    <w:link w:val="1224"/>
    <w:qFormat/>
    <w:pPr>
      <w:keepNext w:val="true"/>
      <w:pBdr/>
      <w:spacing w:after="60" w:before="240"/>
      <w:ind/>
      <w:outlineLvl w:val="2"/>
    </w:pPr>
    <w:rPr>
      <w:rFonts w:ascii="Helvetica" w:hAnsi="Helvetica"/>
      <w:sz w:val="24"/>
    </w:rPr>
  </w:style>
  <w:style w:type="paragraph" w:styleId="1075">
    <w:name w:val="Heading 4"/>
    <w:basedOn w:val="1071"/>
    <w:next w:val="1071"/>
    <w:link w:val="1225"/>
    <w:qFormat/>
    <w:pPr>
      <w:keepNext w:val="true"/>
      <w:widowControl w:val="false"/>
      <w:pBdr/>
      <w:spacing/>
      <w:ind/>
      <w:jc w:val="both"/>
      <w:outlineLvl w:val="3"/>
    </w:pPr>
    <w:rPr>
      <w:rFonts w:cs="Arial"/>
      <w:b/>
      <w:bCs/>
      <w:i/>
      <w:iCs/>
      <w:color w:val="0000ff"/>
    </w:rPr>
  </w:style>
  <w:style w:type="paragraph" w:styleId="1076">
    <w:name w:val="Heading 5"/>
    <w:basedOn w:val="1071"/>
    <w:next w:val="1071"/>
    <w:link w:val="1226"/>
    <w:qFormat/>
    <w:pPr>
      <w:keepNext w:val="true"/>
      <w:widowControl w:val="false"/>
      <w:pBdr/>
      <w:spacing/>
      <w:ind/>
      <w:jc w:val="both"/>
      <w:outlineLvl w:val="4"/>
    </w:pPr>
    <w:rPr>
      <w:rFonts w:cs="Arial"/>
      <w:b/>
      <w:bCs/>
    </w:rPr>
  </w:style>
  <w:style w:type="paragraph" w:styleId="1077">
    <w:name w:val="Heading 6"/>
    <w:basedOn w:val="1071"/>
    <w:next w:val="1071"/>
    <w:link w:val="1227"/>
    <w:qFormat/>
    <w:pPr>
      <w:pBdr/>
      <w:spacing w:after="60" w:before="240" w:line="240" w:lineRule="auto"/>
      <w:ind/>
      <w:outlineLvl w:val="5"/>
    </w:pPr>
    <w:rPr>
      <w:rFonts w:ascii="Times New Roman" w:hAnsi="Times New Roman" w:eastAsia="Times New Roman"/>
      <w:b/>
      <w:bCs/>
      <w:sz w:val="22"/>
      <w:szCs w:val="22"/>
      <w:lang w:val="en-US" w:eastAsia="en-US"/>
    </w:rPr>
  </w:style>
  <w:style w:type="paragraph" w:styleId="1078">
    <w:name w:val="Heading 7"/>
    <w:basedOn w:val="1071"/>
    <w:next w:val="1071"/>
    <w:link w:val="1228"/>
    <w:qFormat/>
    <w:pPr>
      <w:keepNext w:val="true"/>
      <w:widowControl w:val="false"/>
      <w:pBdr/>
      <w:spacing w:line="240" w:lineRule="auto"/>
      <w:ind/>
      <w:outlineLvl w:val="6"/>
    </w:pPr>
    <w:rPr>
      <w:rFonts w:ascii="Times New Roman" w:hAnsi="Times New Roman" w:eastAsia="Times New Roman" w:cs="Arial"/>
      <w:b/>
      <w:sz w:val="24"/>
      <w:szCs w:val="24"/>
    </w:rPr>
  </w:style>
  <w:style w:type="paragraph" w:styleId="1079">
    <w:name w:val="Heading 8"/>
    <w:basedOn w:val="1071"/>
    <w:next w:val="1071"/>
    <w:link w:val="1229"/>
    <w:qFormat/>
    <w:pPr>
      <w:keepNext w:val="true"/>
      <w:numPr>
        <w:ilvl w:val="12"/>
      </w:num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40" w:lineRule="auto"/>
      <w:ind/>
      <w:outlineLvl w:val="7"/>
    </w:pPr>
    <w:rPr>
      <w:rFonts w:ascii="Times New Roman" w:hAnsi="Times New Roman" w:eastAsia="SimSun"/>
      <w:b/>
      <w:sz w:val="24"/>
      <w:lang w:val="en-US" w:eastAsia="zh-CN"/>
    </w:rPr>
  </w:style>
  <w:style w:type="paragraph" w:styleId="1080">
    <w:name w:val="Heading 9"/>
    <w:basedOn w:val="1071"/>
    <w:next w:val="1071"/>
    <w:link w:val="1230"/>
    <w:uiPriority w:val="9"/>
    <w:unhideWhenUsed/>
    <w:qFormat/>
    <w:pPr>
      <w:keepNext w:val="true"/>
      <w:keepLines w:val="true"/>
      <w:pBdr/>
      <w:spacing/>
      <w:ind/>
      <w:outlineLvl w:val="8"/>
    </w:pPr>
    <w:rPr>
      <w:rFonts w:eastAsia="Arial" w:cs="Arial"/>
      <w:i/>
      <w:iCs/>
      <w:color w:val="272727" w:themeColor="text1" w:themeTint="D8"/>
    </w:rPr>
  </w:style>
  <w:style w:type="character" w:styleId="1081" w:default="1">
    <w:name w:val="Default Paragraph Font"/>
    <w:uiPriority w:val="1"/>
    <w:semiHidden/>
    <w:unhideWhenUsed/>
    <w:pPr>
      <w:pBdr/>
      <w:spacing/>
      <w:ind/>
    </w:pPr>
  </w:style>
  <w:style w:type="table" w:styleId="1082"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83" w:default="1">
    <w:name w:val="No List"/>
    <w:uiPriority w:val="99"/>
    <w:semiHidden/>
    <w:unhideWhenUsed/>
    <w:pPr>
      <w:pBdr/>
      <w:spacing/>
      <w:ind/>
    </w:pPr>
  </w:style>
  <w:style w:type="character" w:styleId="1084" w:customStyle="1">
    <w:name w:val="Heading 1 Char"/>
    <w:basedOn w:val="1081"/>
    <w:uiPriority w:val="9"/>
    <w:pPr>
      <w:pBdr/>
      <w:spacing/>
      <w:ind/>
    </w:pPr>
    <w:rPr>
      <w:rFonts w:ascii="Arial" w:hAnsi="Arial" w:eastAsia="Arial" w:cs="Arial"/>
      <w:color w:val="365f91" w:themeColor="accent1" w:themeShade="BF"/>
      <w:sz w:val="40"/>
      <w:szCs w:val="40"/>
    </w:rPr>
  </w:style>
  <w:style w:type="character" w:styleId="1085" w:customStyle="1">
    <w:name w:val="Heading 3 Char"/>
    <w:basedOn w:val="1081"/>
    <w:uiPriority w:val="9"/>
    <w:pPr>
      <w:pBdr/>
      <w:spacing/>
      <w:ind/>
    </w:pPr>
    <w:rPr>
      <w:rFonts w:ascii="Arial" w:hAnsi="Arial" w:eastAsia="Arial" w:cs="Arial"/>
      <w:color w:val="365f91" w:themeColor="accent1" w:themeShade="BF"/>
      <w:sz w:val="28"/>
      <w:szCs w:val="28"/>
    </w:rPr>
  </w:style>
  <w:style w:type="character" w:styleId="1086" w:customStyle="1">
    <w:name w:val="Heading 4 Char"/>
    <w:basedOn w:val="1081"/>
    <w:uiPriority w:val="9"/>
    <w:pPr>
      <w:pBdr/>
      <w:spacing/>
      <w:ind/>
    </w:pPr>
    <w:rPr>
      <w:rFonts w:ascii="Arial" w:hAnsi="Arial" w:eastAsia="Arial" w:cs="Arial"/>
      <w:i/>
      <w:iCs/>
      <w:color w:val="365f91" w:themeColor="accent1" w:themeShade="BF"/>
    </w:rPr>
  </w:style>
  <w:style w:type="character" w:styleId="1087" w:customStyle="1">
    <w:name w:val="Heading 5 Char"/>
    <w:basedOn w:val="1081"/>
    <w:uiPriority w:val="9"/>
    <w:pPr>
      <w:pBdr/>
      <w:spacing/>
      <w:ind/>
    </w:pPr>
    <w:rPr>
      <w:rFonts w:ascii="Arial" w:hAnsi="Arial" w:eastAsia="Arial" w:cs="Arial"/>
      <w:color w:val="365f91" w:themeColor="accent1" w:themeShade="BF"/>
    </w:rPr>
  </w:style>
  <w:style w:type="character" w:styleId="1088" w:customStyle="1">
    <w:name w:val="Heading 6 Char"/>
    <w:basedOn w:val="1081"/>
    <w:uiPriority w:val="9"/>
    <w:pPr>
      <w:pBdr/>
      <w:spacing/>
      <w:ind/>
    </w:pPr>
    <w:rPr>
      <w:rFonts w:ascii="Arial" w:hAnsi="Arial" w:eastAsia="Arial" w:cs="Arial"/>
      <w:i/>
      <w:iCs/>
      <w:color w:val="595959" w:themeColor="text1" w:themeTint="A6"/>
    </w:rPr>
  </w:style>
  <w:style w:type="character" w:styleId="1089" w:customStyle="1">
    <w:name w:val="Heading 7 Char"/>
    <w:basedOn w:val="1081"/>
    <w:uiPriority w:val="9"/>
    <w:pPr>
      <w:pBdr/>
      <w:spacing/>
      <w:ind/>
    </w:pPr>
    <w:rPr>
      <w:rFonts w:ascii="Arial" w:hAnsi="Arial" w:eastAsia="Arial" w:cs="Arial"/>
      <w:color w:val="595959" w:themeColor="text1" w:themeTint="A6"/>
    </w:rPr>
  </w:style>
  <w:style w:type="character" w:styleId="1090" w:customStyle="1">
    <w:name w:val="Heading 8 Char"/>
    <w:basedOn w:val="1081"/>
    <w:uiPriority w:val="9"/>
    <w:pPr>
      <w:pBdr/>
      <w:spacing/>
      <w:ind/>
    </w:pPr>
    <w:rPr>
      <w:rFonts w:ascii="Arial" w:hAnsi="Arial" w:eastAsia="Arial" w:cs="Arial"/>
      <w:i/>
      <w:iCs/>
      <w:color w:val="272727" w:themeColor="text1" w:themeTint="D8"/>
    </w:rPr>
  </w:style>
  <w:style w:type="character" w:styleId="1091" w:customStyle="1">
    <w:name w:val="Heading 9 Char"/>
    <w:basedOn w:val="1081"/>
    <w:uiPriority w:val="9"/>
    <w:pPr>
      <w:pBdr/>
      <w:spacing/>
      <w:ind/>
    </w:pPr>
    <w:rPr>
      <w:rFonts w:ascii="Arial" w:hAnsi="Arial" w:eastAsia="Arial" w:cs="Arial"/>
      <w:i/>
      <w:iCs/>
      <w:color w:val="272727" w:themeColor="text1" w:themeTint="D8"/>
    </w:rPr>
  </w:style>
  <w:style w:type="character" w:styleId="1092" w:customStyle="1">
    <w:name w:val="Title Char"/>
    <w:basedOn w:val="1081"/>
    <w:uiPriority w:val="10"/>
    <w:pPr>
      <w:pBdr/>
      <w:spacing/>
      <w:ind/>
    </w:pPr>
    <w:rPr>
      <w:rFonts w:ascii="Arial" w:hAnsi="Arial" w:eastAsia="Arial" w:cs="Arial"/>
      <w:spacing w:val="-10"/>
      <w:sz w:val="56"/>
      <w:szCs w:val="56"/>
    </w:rPr>
  </w:style>
  <w:style w:type="character" w:styleId="1093" w:customStyle="1">
    <w:name w:val="Subtitle Char"/>
    <w:basedOn w:val="1081"/>
    <w:uiPriority w:val="11"/>
    <w:pPr>
      <w:pBdr/>
      <w:spacing/>
      <w:ind/>
    </w:pPr>
    <w:rPr>
      <w:color w:val="595959" w:themeColor="text1" w:themeTint="A6"/>
      <w:spacing w:val="15"/>
      <w:sz w:val="28"/>
      <w:szCs w:val="28"/>
    </w:rPr>
  </w:style>
  <w:style w:type="character" w:styleId="1094" w:customStyle="1">
    <w:name w:val="Quote Char"/>
    <w:basedOn w:val="1081"/>
    <w:uiPriority w:val="29"/>
    <w:pPr>
      <w:pBdr/>
      <w:spacing/>
      <w:ind/>
    </w:pPr>
    <w:rPr>
      <w:i/>
      <w:iCs/>
      <w:color w:val="404040" w:themeColor="text1" w:themeTint="BF"/>
    </w:rPr>
  </w:style>
  <w:style w:type="character" w:styleId="1095" w:customStyle="1">
    <w:name w:val="Intense Quote Char"/>
    <w:basedOn w:val="1081"/>
    <w:uiPriority w:val="30"/>
    <w:pPr>
      <w:pBdr/>
      <w:spacing/>
      <w:ind/>
    </w:pPr>
    <w:rPr>
      <w:i/>
      <w:iCs/>
      <w:color w:val="365f91" w:themeColor="accent1" w:themeShade="BF"/>
    </w:rPr>
  </w:style>
  <w:style w:type="character" w:styleId="1096" w:customStyle="1">
    <w:name w:val="Endnote Text Char"/>
    <w:basedOn w:val="1081"/>
    <w:uiPriority w:val="99"/>
    <w:semiHidden/>
    <w:pPr>
      <w:pBdr/>
      <w:spacing/>
      <w:ind/>
    </w:pPr>
    <w:rPr>
      <w:sz w:val="20"/>
      <w:szCs w:val="20"/>
    </w:rPr>
  </w:style>
  <w:style w:type="table" w:styleId="1097" w:customStyle="1">
    <w:name w:val="Table Grid Light"/>
    <w:basedOn w:val="1082"/>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Plain Table 1"/>
    <w:basedOn w:val="1082"/>
    <w:uiPriority w:val="59"/>
    <w:pPr>
      <w:pBdr/>
      <w:spacing/>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Plain Table 2"/>
    <w:basedOn w:val="1082"/>
    <w:uiPriority w:val="59"/>
    <w:pPr>
      <w:pBdr/>
      <w:spacing/>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Plain Table 3"/>
    <w:basedOn w:val="1082"/>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Plain Table 4"/>
    <w:basedOn w:val="1082"/>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Plain Table 5"/>
    <w:basedOn w:val="1082"/>
    <w:uiPriority w:val="99"/>
    <w:pPr>
      <w:pBdr/>
      <w:spacing/>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Grid Table 1 Light"/>
    <w:basedOn w:val="1082"/>
    <w:uiPriority w:val="99"/>
    <w:pPr>
      <w:pBdr/>
      <w:spacing/>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customStyle="1">
    <w:name w:val="Grid Table 1 Light - Accent 1"/>
    <w:basedOn w:val="1082"/>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7b4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customStyle="1">
    <w:name w:val="Grid Table 1 Light - Accent 2"/>
    <w:basedOn w:val="1082"/>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customStyle="1">
    <w:name w:val="Grid Table 1 Light - Accent 3"/>
    <w:basedOn w:val="1082"/>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d"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customStyle="1">
    <w:name w:val="Grid Table 1 Light - Accent 4"/>
    <w:basedOn w:val="1082"/>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customStyle="1">
    <w:name w:val="Grid Table 1 Light - Accent 5"/>
    <w:basedOn w:val="1082"/>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customStyle="1">
    <w:name w:val="Grid Table 1 Light - Accent 6"/>
    <w:basedOn w:val="1082"/>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name w:val="Grid Table 2"/>
    <w:basedOn w:val="1082"/>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customStyle="1">
    <w:name w:val="Grid Table 2 - Accent 1"/>
    <w:basedOn w:val="1082"/>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customStyle="1">
    <w:name w:val="Grid Table 2 - Accent 2"/>
    <w:basedOn w:val="1082"/>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Grid Table 2 - Accent 3"/>
    <w:basedOn w:val="1082"/>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customStyle="1">
    <w:name w:val="Grid Table 2 - Accent 4"/>
    <w:basedOn w:val="1082"/>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customStyle="1">
    <w:name w:val="Grid Table 2 - Accent 5"/>
    <w:basedOn w:val="1082"/>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customStyle="1">
    <w:name w:val="Grid Table 2 - Accent 6"/>
    <w:basedOn w:val="1082"/>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Grid Table 3"/>
    <w:basedOn w:val="1082"/>
    <w:uiPriority w:val="99"/>
    <w:pPr>
      <w:pBdr/>
      <w:spacing/>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customStyle="1">
    <w:name w:val="Grid Table 3 - Accent 1"/>
    <w:basedOn w:val="1082"/>
    <w:uiPriority w:val="99"/>
    <w:pPr>
      <w:pBdr/>
      <w:spacing/>
      <w:ind/>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cPr>
      <w:tcBorders/>
    </w:tcPr>
    <w:tblStylePr w:type="band1Horz">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dae5f1"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customStyle="1">
    <w:name w:val="Grid Table 3 - Accent 2"/>
    <w:basedOn w:val="1082"/>
    <w:uiPriority w:val="99"/>
    <w:pPr>
      <w:pBdr/>
      <w:spacing/>
      <w:ind/>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customStyle="1">
    <w:name w:val="Grid Table 3 - Accent 3"/>
    <w:basedOn w:val="1082"/>
    <w:uiPriority w:val="99"/>
    <w:pPr>
      <w:pBdr/>
      <w:spacing/>
      <w:ind/>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1" w:customStyle="1">
    <w:name w:val="Grid Table 3 - Accent 4"/>
    <w:basedOn w:val="1082"/>
    <w:uiPriority w:val="99"/>
    <w:pPr>
      <w:pBdr/>
      <w:spacing/>
      <w:ind/>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customStyle="1">
    <w:name w:val="Grid Table 3 - Accent 5"/>
    <w:basedOn w:val="1082"/>
    <w:uiPriority w:val="99"/>
    <w:pPr>
      <w:pBdr/>
      <w:spacing/>
      <w:ind/>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customStyle="1">
    <w:name w:val="Grid Table 3 - Accent 6"/>
    <w:basedOn w:val="1082"/>
    <w:uiPriority w:val="99"/>
    <w:pPr>
      <w:pBdr/>
      <w:spacing/>
      <w:ind/>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Grid Table 4"/>
    <w:basedOn w:val="1082"/>
    <w:uiPriority w:val="59"/>
    <w:pPr>
      <w:pBdr/>
      <w:spacing/>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customStyle="1">
    <w:name w:val="Grid Table 4 - Accent 1"/>
    <w:basedOn w:val="1082"/>
    <w:uiPriority w:val="5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a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customStyle="1">
    <w:name w:val="Grid Table 4 - Accent 2"/>
    <w:basedOn w:val="1082"/>
    <w:uiPriority w:val="5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customStyle="1">
    <w:name w:val="Grid Table 4 - Accent 3"/>
    <w:basedOn w:val="1082"/>
    <w:uiPriority w:val="5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1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a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customStyle="1">
    <w:name w:val="Grid Table 4 - Accent 4"/>
    <w:basedOn w:val="1082"/>
    <w:uiPriority w:val="5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customStyle="1">
    <w:name w:val="Grid Table 4 - Accent 5"/>
    <w:basedOn w:val="1082"/>
    <w:uiPriority w:val="5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customStyle="1">
    <w:name w:val="Grid Table 4 - Accent 6"/>
    <w:basedOn w:val="1082"/>
    <w:uiPriority w:val="5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Grid Table 5 Dark"/>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customStyle="1">
    <w:name w:val="Grid Table 5 Dark- Accent 1"/>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cPr>
      <w:tcBorders/>
    </w:tcPr>
    <w:tblStylePr w:type="band1Horz">
      <w:pPr>
        <w:pBdr/>
        <w:spacing/>
        <w:ind/>
      </w:pPr>
      <w:tblPr>
        <w:tblBorders/>
      </w:tblPr>
      <w:tcPr>
        <w:shd w:val="clear" w:color="aec4e0" w:themeColor="accent1" w:themeTint="75" w:fill="aec4e0" w:themeFill="accent1" w:themeFillTint="75"/>
        <w:tcBorders/>
      </w:tcPr>
    </w:tblStylePr>
    <w:tblStylePr w:type="band1Vert">
      <w:pPr>
        <w:pBdr/>
        <w:spacing/>
        <w:ind/>
      </w:pPr>
      <w:tblPr>
        <w:tblBorders/>
      </w:tblPr>
      <w:tcPr>
        <w:shd w:val="clear" w:color="aec4e0" w:themeColor="accent1" w:themeTint="75" w:fill="aec4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customStyle="1">
    <w:name w:val="Grid Table 5 Dark - Accent 2"/>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customStyle="1">
    <w:name w:val="Grid Table 5 Dark - Accent 3"/>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cPr>
      <w:tcBorders/>
    </w:tcPr>
    <w:tblStylePr w:type="band1Horz">
      <w:pPr>
        <w:pBdr/>
        <w:spacing/>
        <w:ind/>
      </w:pPr>
      <w:tblPr>
        <w:tblBorders/>
      </w:tblPr>
      <w:tcPr>
        <w:shd w:val="clear" w:color="d0dfb2" w:themeColor="accent3" w:themeTint="75" w:fill="d0dfb2" w:themeFill="accent3" w:themeFillTint="75"/>
        <w:tcBorders/>
      </w:tcPr>
    </w:tblStylePr>
    <w:tblStylePr w:type="band1Vert">
      <w:pPr>
        <w:pBdr/>
        <w:spacing/>
        <w:ind/>
      </w:pPr>
      <w:tblPr>
        <w:tblBorders/>
      </w:tblPr>
      <w:tcPr>
        <w:shd w:val="clear" w:color="d0dfb2" w:themeColor="accent3" w:themeTint="75" w:fill="d0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customStyle="1">
    <w:name w:val="Grid Table 5 Dark- Accent 4"/>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customStyle="1">
    <w:name w:val="Grid Table 5 Dark - Accent 5"/>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customStyle="1">
    <w:name w:val="Grid Table 5 Dark - Accent 6"/>
    <w:basedOn w:val="1082"/>
    <w:uiPriority w:val="99"/>
    <w:pPr>
      <w:pBdr/>
      <w:spacing/>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Grid Table 6 Colorful"/>
    <w:basedOn w:val="1082"/>
    <w:uiPriority w:val="99"/>
    <w:pPr>
      <w:pBdr/>
      <w:spacing/>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customStyle="1">
    <w:name w:val="Grid Table 6 Colorful - Accent 1"/>
    <w:basedOn w:val="1082"/>
    <w:uiPriority w:val="99"/>
    <w:pPr>
      <w:pBdr/>
      <w:spacing/>
      <w:ind/>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6bfdd" w:themeColor="accent1" w:themeTint="80" w:themeShade="95"/>
      </w:rPr>
      <w:pPr>
        <w:pBdr/>
        <w:spacing/>
        <w:ind/>
      </w:pPr>
      <w:tblPr>
        <w:tblBorders/>
      </w:tblPr>
      <w:tcPr>
        <w:tcBorders/>
      </w:tcPr>
    </w:tblStylePr>
    <w:tblStylePr w:type="firstRow">
      <w:rPr>
        <w:b/>
        <w:color w:val="a6bfdd" w:themeColor="accent1" w:themeTint="80" w:themeShade="95"/>
      </w:rPr>
      <w:pPr>
        <w:pBdr/>
        <w:spacing/>
        <w:ind/>
      </w:pPr>
      <w:tblPr>
        <w:tblBorders/>
      </w:tblPr>
      <w:tcPr>
        <w:tcBorders>
          <w:bottom w:val="single" w:color="a6bfdd" w:themeColor="accent1" w:themeTint="80" w:sz="12" w:space="0"/>
        </w:tcBorders>
      </w:tcPr>
    </w:tblStylePr>
    <w:tblStylePr w:type="lastCol">
      <w:rPr>
        <w:b/>
        <w:color w:val="a6bfdd" w:themeColor="accent1" w:themeTint="80" w:themeShade="95"/>
      </w:rPr>
      <w:pPr>
        <w:pBdr/>
        <w:spacing/>
        <w:ind/>
      </w:pPr>
      <w:tblPr>
        <w:tblBorders/>
      </w:tblPr>
      <w:tcPr>
        <w:tcBorders/>
      </w:tcPr>
    </w:tblStylePr>
    <w:tblStylePr w:type="lastRow">
      <w:rPr>
        <w:b/>
        <w:color w:val="a6bfd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customStyle="1">
    <w:name w:val="Grid Table 6 Colorful - Accent 2"/>
    <w:basedOn w:val="1082"/>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12"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customStyle="1">
    <w:name w:val="Grid Table 6 Colorful - Accent 3"/>
    <w:basedOn w:val="1082"/>
    <w:uiPriority w:val="99"/>
    <w:pPr>
      <w:pBdr/>
      <w:spacing/>
      <w:ind/>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abb59" w:themeColor="accent3" w:themeTint="FE" w:themeShade="95"/>
      </w:rPr>
      <w:pPr>
        <w:pBdr/>
        <w:spacing/>
        <w:ind/>
      </w:pPr>
      <w:tblPr>
        <w:tblBorders/>
      </w:tblPr>
      <w:tcPr>
        <w:tcBorders/>
      </w:tcPr>
    </w:tblStylePr>
    <w:tblStylePr w:type="firstRow">
      <w:rPr>
        <w:b/>
        <w:color w:val="9abb59" w:themeColor="accent3" w:themeTint="FE" w:themeShade="95"/>
      </w:rPr>
      <w:pPr>
        <w:pBdr/>
        <w:spacing/>
        <w:ind/>
      </w:pPr>
      <w:tblPr>
        <w:tblBorders/>
      </w:tblPr>
      <w:tcPr>
        <w:tcBorders>
          <w:bottom w:val="single" w:color="9abb59" w:themeColor="accent3" w:themeTint="FE" w:sz="12" w:space="0"/>
        </w:tcBorders>
      </w:tcPr>
    </w:tblStylePr>
    <w:tblStylePr w:type="lastCol">
      <w:rPr>
        <w:b/>
        <w:color w:val="9abb59" w:themeColor="accent3" w:themeTint="FE" w:themeShade="95"/>
      </w:rPr>
      <w:pPr>
        <w:pBdr/>
        <w:spacing/>
        <w:ind/>
      </w:pPr>
      <w:tblPr>
        <w:tblBorders/>
      </w:tblPr>
      <w:tcPr>
        <w:tcBorders/>
      </w:tcPr>
    </w:tblStylePr>
    <w:tblStylePr w:type="lastRow">
      <w:rPr>
        <w:b/>
        <w:color w:val="9abb59"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customStyle="1">
    <w:name w:val="Grid Table 6 Colorful - Accent 4"/>
    <w:basedOn w:val="1082"/>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12"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customStyle="1">
    <w:name w:val="Grid Table 6 Colorful - Accent 5"/>
    <w:basedOn w:val="1082"/>
    <w:uiPriority w:val="99"/>
    <w:pPr>
      <w:pBdr/>
      <w:spacing/>
      <w:ind/>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4bacc6" w:themeColor="accent5"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customStyle="1">
    <w:name w:val="Grid Table 6 Colorful - Accent 6"/>
    <w:basedOn w:val="1082"/>
    <w:uiPriority w:val="99"/>
    <w:pPr>
      <w:pBdr/>
      <w:spacing/>
      <w:ind/>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9" w:themeColor="accent5"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9" w:themeColor="accent5" w:themeShade="95"/>
      </w:rPr>
      <w:pPr>
        <w:pBdr/>
        <w:spacing/>
        <w:ind/>
      </w:pPr>
      <w:tblPr>
        <w:tblBorders/>
      </w:tblPr>
      <w:tcPr>
        <w:tcBorders/>
      </w:tcPr>
    </w:tblStylePr>
    <w:tblStylePr w:type="firstRow">
      <w:rPr>
        <w:b/>
        <w:color w:val="266779" w:themeColor="accent5" w:themeShade="95"/>
      </w:rPr>
      <w:pPr>
        <w:pBdr/>
        <w:spacing/>
        <w:ind/>
      </w:pPr>
      <w:tblPr>
        <w:tblBorders/>
      </w:tblPr>
      <w:tcPr>
        <w:tcBorders>
          <w:bottom w:val="single" w:color="f79646" w:themeColor="accent6" w:sz="12" w:space="0"/>
        </w:tcBorders>
      </w:tcPr>
    </w:tblStylePr>
    <w:tblStylePr w:type="lastCol">
      <w:rPr>
        <w:b/>
        <w:color w:val="266779" w:themeColor="accent5" w:themeShade="95"/>
      </w:rPr>
      <w:pPr>
        <w:pBdr/>
        <w:spacing/>
        <w:ind/>
      </w:pPr>
      <w:tblPr>
        <w:tblBorders/>
      </w:tblPr>
      <w:tcPr>
        <w:tcBorders/>
      </w:tcPr>
    </w:tblStylePr>
    <w:tblStylePr w:type="lastRow">
      <w:rPr>
        <w:b/>
        <w:color w:val="2667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Grid Table 7 Colorful"/>
    <w:basedOn w:val="1082"/>
    <w:uiPriority w:val="99"/>
    <w:pPr>
      <w:pBdr/>
      <w:spacing/>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customStyle="1">
    <w:name w:val="Grid Table 7 Colorful - Accent 1"/>
    <w:basedOn w:val="1082"/>
    <w:uiPriority w:val="99"/>
    <w:pPr>
      <w:pBdr/>
      <w:spacing/>
      <w:ind/>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6bfdd" w:themeColor="accent1" w:themeTint="80" w:themeShade="95"/>
        <w:sz w:val="22"/>
      </w:rPr>
      <w:pPr>
        <w:pBdr/>
        <w:spacing/>
        <w:ind/>
      </w:pPr>
      <w:tblPr>
        <w:tblBorders/>
      </w:tblPr>
      <w:tcPr>
        <w:shd w:val="clear" w:color="dae5f1" w:themeColor="accent1" w:themeTint="34" w:fill="dae5f1" w:themeFill="accent1" w:themeFillTint="34"/>
        <w:tcBorders/>
      </w:tcPr>
    </w:tblStylePr>
    <w:tblStylePr w:type="band1Vert">
      <w:pPr>
        <w:pBdr/>
        <w:spacing/>
        <w:ind/>
      </w:pPr>
      <w:tblPr>
        <w:tblBorders/>
      </w:tblPr>
      <w:tcPr>
        <w:shd w:val="clear" w:color="dae5f1" w:themeColor="accent1" w:themeTint="34" w:fill="dae5f1" w:themeFill="accent1" w:themeFillTint="34"/>
        <w:tcBorders/>
      </w:tcPr>
    </w:tblStylePr>
    <w:tblStylePr w:type="band2Horz">
      <w:rPr>
        <w:rFonts w:ascii="Arial" w:hAnsi="Arial"/>
        <w:color w:val="a6bfd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6bfdd"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customStyle="1">
    <w:name w:val="Grid Table 7 Colorful - Accent 2"/>
    <w:basedOn w:val="1082"/>
    <w:uiPriority w:val="99"/>
    <w:pPr>
      <w:pBdr/>
      <w:spacing/>
      <w:ind/>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customStyle="1">
    <w:name w:val="Grid Table 7 Colorful - Accent 3"/>
    <w:basedOn w:val="1082"/>
    <w:uiPriority w:val="99"/>
    <w:pPr>
      <w:pBdr/>
      <w:spacing/>
      <w:ind/>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cPr>
      <w:tcBorders/>
    </w:tcPr>
    <w:tblStylePr w:type="band1Horz">
      <w:rPr>
        <w:rFonts w:ascii="Arial" w:hAnsi="Arial"/>
        <w:color w:val="9abb59" w:themeColor="accent3" w:themeTint="FE" w:themeShade="95"/>
        <w:sz w:val="22"/>
      </w:rPr>
      <w:pPr>
        <w:pBdr/>
        <w:spacing/>
        <w:ind/>
      </w:pPr>
      <w:tblPr>
        <w:tblBorders/>
      </w:tblPr>
      <w:tcPr>
        <w:shd w:val="clear" w:color="eaf1dc" w:themeColor="accent3" w:themeTint="34" w:fill="eaf1dc" w:themeFill="accent3" w:themeFillTint="34"/>
        <w:tcBorders/>
      </w:tcPr>
    </w:tblStylePr>
    <w:tblStylePr w:type="band1Vert">
      <w:pPr>
        <w:pBdr/>
        <w:spacing/>
        <w:ind/>
      </w:pPr>
      <w:tblPr>
        <w:tblBorders/>
      </w:tblPr>
      <w:tcPr>
        <w:shd w:val="clear" w:color="eaf1dc" w:themeColor="accent3" w:themeTint="34" w:fill="eaf1dc" w:themeFill="accent3" w:themeFillTint="34"/>
        <w:tcBorders/>
      </w:tcPr>
    </w:tblStylePr>
    <w:tblStylePr w:type="band2Horz">
      <w:rPr>
        <w:rFonts w:ascii="Arial" w:hAnsi="Arial"/>
        <w:color w:val="9abb59"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abb59"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pPr>
        <w:pBdr/>
        <w:spacing/>
        <w:ind/>
      </w:pPr>
      <w:tblPr>
        <w:tblBorders/>
      </w:tbl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pPr>
        <w:pBdr/>
        <w:spacing/>
        <w:ind/>
      </w:pPr>
      <w:tblPr>
        <w:tblBorders/>
      </w:tbl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customStyle="1">
    <w:name w:val="Grid Table 7 Colorful - Accent 4"/>
    <w:basedOn w:val="1082"/>
    <w:uiPriority w:val="99"/>
    <w:pPr>
      <w:pBdr/>
      <w:spacing/>
      <w:ind/>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customStyle="1">
    <w:name w:val="Grid Table 7 Colorful - Accent 5"/>
    <w:basedOn w:val="1082"/>
    <w:uiPriority w:val="99"/>
    <w:pPr>
      <w:pBdr/>
      <w:spacing/>
      <w:ind/>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9" w:themeColor="accent5" w:themeShade="95"/>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9"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customStyle="1">
    <w:name w:val="Grid Table 7 Colorful - Accent 6"/>
    <w:basedOn w:val="1082"/>
    <w:uiPriority w:val="99"/>
    <w:pPr>
      <w:pBdr/>
      <w:spacing/>
      <w:ind/>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15407" w:themeColor="accent6" w:themeShade="95"/>
        <w:sz w:val="22"/>
      </w:rPr>
      <w:pPr>
        <w:pBdr/>
        <w:spacing/>
        <w:ind/>
      </w:pPr>
      <w:tblPr>
        <w:tblBorders/>
      </w:tblPr>
      <w:tcPr>
        <w:shd w:val="clear" w:color="fde9d8" w:themeColor="accent6" w:themeTint="34" w:fill="fde9d8" w:themeFill="accent6" w:themeFillTint="34"/>
        <w:tcBorders/>
      </w:tcPr>
    </w:tblStylePr>
    <w:tblStylePr w:type="band1Vert">
      <w:pPr>
        <w:pBdr/>
        <w:spacing/>
        <w:ind/>
      </w:pPr>
      <w:tblPr>
        <w:tblBorders/>
      </w:tblPr>
      <w:tcPr>
        <w:shd w:val="clear" w:color="fde9d8" w:themeColor="accent6" w:themeTint="34" w:fill="fde9d8" w:themeFill="accent6" w:themeFillTint="34"/>
        <w:tcBorders/>
      </w:tcPr>
    </w:tblStylePr>
    <w:tblStylePr w:type="band2Horz">
      <w:rPr>
        <w:rFonts w:ascii="Arial" w:hAnsi="Arial"/>
        <w:color w:val="b154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15407"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List Table 1 Light"/>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List Table 1 Light - Accent 1"/>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customStyle="1">
    <w:name w:val="List Table 1 Light - Accent 2"/>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List Table 1 Light - Accent 3"/>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List Table 1 Light - Accent 4"/>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7" w:customStyle="1">
    <w:name w:val="List Table 1 Light - Accent 5"/>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8" w:customStyle="1">
    <w:name w:val="List Table 1 Light - Accent 6"/>
    <w:basedOn w:val="1082"/>
    <w:uiPriority w:val="99"/>
    <w:pPr>
      <w:pBdr/>
      <w:spacing/>
      <w:ind/>
    </w:pPr>
    <w:tblPr>
      <w:tblStyleRowBandSize w:val="1"/>
      <w:tblStyleColBandSize w:val="1"/>
      <w:tblBorders/>
    </w:tblPr>
    <w:tcPr>
      <w:tcBorders/>
    </w:tcPr>
    <w:tblStylePr w:type="band1Horz">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9">
    <w:name w:val="List Table 2"/>
    <w:basedOn w:val="1082"/>
    <w:uiPriority w:val="99"/>
    <w:pPr>
      <w:pBdr/>
      <w:spacing/>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0" w:customStyle="1">
    <w:name w:val="List Table 2 - Accent 1"/>
    <w:basedOn w:val="1082"/>
    <w:uiPriority w:val="99"/>
    <w:pPr>
      <w:pBdr/>
      <w:spacing/>
      <w:ind/>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1" w:customStyle="1">
    <w:name w:val="List Table 2 - Accent 2"/>
    <w:basedOn w:val="1082"/>
    <w:uiPriority w:val="99"/>
    <w:pPr>
      <w:pBdr/>
      <w:spacing/>
      <w:ind/>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2" w:customStyle="1">
    <w:name w:val="List Table 2 - Accent 3"/>
    <w:basedOn w:val="1082"/>
    <w:uiPriority w:val="99"/>
    <w:pPr>
      <w:pBdr/>
      <w:spacing/>
      <w:ind/>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3" w:customStyle="1">
    <w:name w:val="List Table 2 - Accent 4"/>
    <w:basedOn w:val="1082"/>
    <w:uiPriority w:val="99"/>
    <w:pPr>
      <w:pBdr/>
      <w:spacing/>
      <w:ind/>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4" w:customStyle="1">
    <w:name w:val="List Table 2 - Accent 5"/>
    <w:basedOn w:val="1082"/>
    <w:uiPriority w:val="99"/>
    <w:pPr>
      <w:pBdr/>
      <w:spacing/>
      <w:ind/>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5" w:customStyle="1">
    <w:name w:val="List Table 2 - Accent 6"/>
    <w:basedOn w:val="1082"/>
    <w:uiPriority w:val="99"/>
    <w:pPr>
      <w:pBdr/>
      <w:spacing/>
      <w:ind/>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6">
    <w:name w:val="List Table 3"/>
    <w:basedOn w:val="1082"/>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7" w:customStyle="1">
    <w:name w:val="List Table 3 - Accent 1"/>
    <w:basedOn w:val="1082"/>
    <w:uiPriority w:val="99"/>
    <w:pPr>
      <w:pBdr/>
      <w:spacing/>
      <w:ind/>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8" w:customStyle="1">
    <w:name w:val="List Table 3 - Accent 2"/>
    <w:basedOn w:val="1082"/>
    <w:uiPriority w:val="99"/>
    <w:pPr>
      <w:pBdr/>
      <w:spacing/>
      <w:ind/>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pPr>
        <w:pBdr/>
        <w:spacing/>
        <w:ind/>
      </w:pPr>
      <w:tblPr>
        <w:tblBorders/>
      </w:tblPr>
      <w:tcPr>
        <w:tcBorders>
          <w:left w:val="single" w:color="d99695" w:themeColor="accent2" w:themeTint="97" w:sz="4" w:space="0"/>
          <w:right w:val="single" w:color="d996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695" w:themeColor="accent2" w:themeTint="97" w:fill="d996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9" w:customStyle="1">
    <w:name w:val="List Table 3 - Accent 3"/>
    <w:basedOn w:val="1082"/>
    <w:uiPriority w:val="99"/>
    <w:pPr>
      <w:pBdr/>
      <w:spacing/>
      <w:ind/>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pPr>
        <w:pBdr/>
        <w:spacing/>
        <w:ind/>
      </w:pPr>
      <w:tblPr>
        <w:tblBorders/>
      </w:tblPr>
      <w:tcPr>
        <w:tcBorders>
          <w:left w:val="single" w:color="c3d69b" w:themeColor="accent3" w:themeTint="98" w:sz="4" w:space="0"/>
          <w:right w:val="single" w:color="c3d69b"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b"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0" w:customStyle="1">
    <w:name w:val="List Table 3 - Accent 4"/>
    <w:basedOn w:val="1082"/>
    <w:uiPriority w:val="99"/>
    <w:pPr>
      <w:pBdr/>
      <w:spacing/>
      <w:ind/>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1" w:customStyle="1">
    <w:name w:val="List Table 3 - Accent 5"/>
    <w:basedOn w:val="1082"/>
    <w:uiPriority w:val="99"/>
    <w:pPr>
      <w:pBdr/>
      <w:spacing/>
      <w:ind/>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2" w:customStyle="1">
    <w:name w:val="List Table 3 - Accent 6"/>
    <w:basedOn w:val="1082"/>
    <w:uiPriority w:val="99"/>
    <w:pPr>
      <w:pBdr/>
      <w:spacing/>
      <w:ind/>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3">
    <w:name w:val="List Table 4"/>
    <w:basedOn w:val="1082"/>
    <w:uiPriority w:val="99"/>
    <w:pPr>
      <w:pBdr/>
      <w:spacing/>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4" w:customStyle="1">
    <w:name w:val="List Table 4 - Accent 1"/>
    <w:basedOn w:val="1082"/>
    <w:uiPriority w:val="99"/>
    <w:pPr>
      <w:pBdr/>
      <w:spacing/>
      <w:ind/>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5" w:customStyle="1">
    <w:name w:val="List Table 4 - Accent 2"/>
    <w:basedOn w:val="1082"/>
    <w:uiPriority w:val="99"/>
    <w:pPr>
      <w:pBdr/>
      <w:spacing/>
      <w:ind/>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cPr>
      <w:tcBorders/>
    </w:tcPr>
    <w:tblStylePr w:type="band1Horz">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1Vert">
      <w:rPr>
        <w:rFonts w:ascii="Arial" w:hAnsi="Arial"/>
        <w:color w:val="404040"/>
        <w:sz w:val="22"/>
      </w:rPr>
      <w:pPr>
        <w:pBdr/>
        <w:spacing/>
        <w:ind/>
      </w:pPr>
      <w:tblPr>
        <w:tblBorders/>
      </w:tblPr>
      <w:tcPr>
        <w:shd w:val="clear" w:color="efd2d2" w:themeColor="accent2" w:themeTint="40" w:fill="efd2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6" w:customStyle="1">
    <w:name w:val="List Table 4 - Accent 3"/>
    <w:basedOn w:val="1082"/>
    <w:uiPriority w:val="99"/>
    <w:pPr>
      <w:pBdr/>
      <w:spacing/>
      <w:ind/>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1Vert">
      <w:rPr>
        <w:rFonts w:ascii="Arial" w:hAnsi="Arial"/>
        <w:color w:val="404040"/>
        <w:sz w:val="22"/>
      </w:rPr>
      <w:pPr>
        <w:pBdr/>
        <w:spacing/>
        <w:ind/>
      </w:pPr>
      <w:tblPr>
        <w:tblBorders/>
      </w:tblPr>
      <w:tcPr>
        <w:shd w:val="clear" w:color="e5eed5" w:themeColor="accent3" w:themeTint="40" w:fill="e5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7" w:customStyle="1">
    <w:name w:val="List Table 4 - Accent 4"/>
    <w:basedOn w:val="1082"/>
    <w:uiPriority w:val="99"/>
    <w:pPr>
      <w:pBdr/>
      <w:spacing/>
      <w:ind/>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8" w:customStyle="1">
    <w:name w:val="List Table 4 - Accent 5"/>
    <w:basedOn w:val="1082"/>
    <w:uiPriority w:val="99"/>
    <w:pPr>
      <w:pBdr/>
      <w:spacing/>
      <w:ind/>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9" w:customStyle="1">
    <w:name w:val="List Table 4 - Accent 6"/>
    <w:basedOn w:val="1082"/>
    <w:uiPriority w:val="99"/>
    <w:pPr>
      <w:pBdr/>
      <w:spacing/>
      <w:ind/>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1Vert">
      <w:rPr>
        <w:rFonts w:ascii="Arial" w:hAnsi="Arial"/>
        <w:color w:val="404040"/>
        <w:sz w:val="22"/>
      </w:rPr>
      <w:pPr>
        <w:pBdr/>
        <w:spacing/>
        <w:ind/>
      </w:pPr>
      <w:tblPr>
        <w:tblBorders/>
      </w:tblPr>
      <w:tcPr>
        <w:shd w:val="clear" w:color="fde4d0" w:themeColor="accent6" w:themeTint="40" w:fill="fd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0">
    <w:name w:val="List Table 5 Dark"/>
    <w:basedOn w:val="1082"/>
    <w:uiPriority w:val="99"/>
    <w:pPr>
      <w:pBdr/>
      <w:spacing/>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1" w:customStyle="1">
    <w:name w:val="List Table 5 Dark - Accent 1"/>
    <w:basedOn w:val="1082"/>
    <w:uiPriority w:val="99"/>
    <w:pPr>
      <w:pBdr/>
      <w:spacing/>
      <w:ind/>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2" w:customStyle="1">
    <w:name w:val="List Table 5 Dark - Accent 2"/>
    <w:basedOn w:val="1082"/>
    <w:uiPriority w:val="99"/>
    <w:pPr>
      <w:pBdr/>
      <w:spacing/>
      <w:ind/>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cPr>
      <w:tcBorders/>
    </w:tcPr>
    <w:tblStylePr w:type="band1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3" w:customStyle="1">
    <w:name w:val="List Table 5 Dark - Accent 3"/>
    <w:basedOn w:val="1082"/>
    <w:uiPriority w:val="99"/>
    <w:pPr>
      <w:pBdr/>
      <w:spacing/>
      <w:ind/>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cPr>
      <w:tcBorders/>
    </w:tcPr>
    <w:tblStylePr w:type="band1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4" w:customStyle="1">
    <w:name w:val="List Table 5 Dark - Accent 4"/>
    <w:basedOn w:val="1082"/>
    <w:uiPriority w:val="99"/>
    <w:pPr>
      <w:pBdr/>
      <w:spacing/>
      <w:ind/>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5" w:customStyle="1">
    <w:name w:val="List Table 5 Dark - Accent 5"/>
    <w:basedOn w:val="1082"/>
    <w:uiPriority w:val="99"/>
    <w:pPr>
      <w:pBdr/>
      <w:spacing/>
      <w:ind/>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List Table 5 Dark - Accent 6"/>
    <w:basedOn w:val="1082"/>
    <w:uiPriority w:val="99"/>
    <w:pPr>
      <w:pBdr/>
      <w:spacing/>
      <w:ind/>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7">
    <w:name w:val="List Table 6 Colorful"/>
    <w:basedOn w:val="1082"/>
    <w:uiPriority w:val="99"/>
    <w:pPr>
      <w:pBdr/>
      <w:spacing/>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8" w:customStyle="1">
    <w:name w:val="List Table 6 Colorful - Accent 1"/>
    <w:basedOn w:val="1082"/>
    <w:uiPriority w:val="99"/>
    <w:pPr>
      <w:pBdr/>
      <w:spacing/>
      <w:ind/>
    </w:pPr>
    <w:tblPr>
      <w:tblStyleRowBandSize w:val="1"/>
      <w:tblStyleColBandSize w:val="1"/>
      <w:tblBorders>
        <w:top w:val="single" w:color="4f81bd" w:themeColor="accent1" w:sz="4" w:space="0"/>
        <w:bottom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a71" w:themeColor="accent1" w:themeShade="95"/>
      </w:rPr>
      <w:pPr>
        <w:pBdr/>
        <w:spacing/>
        <w:ind/>
      </w:pPr>
      <w:tblPr>
        <w:tblBorders/>
      </w:tblPr>
      <w:tcPr>
        <w:tcBorders/>
      </w:tcPr>
    </w:tblStylePr>
    <w:tblStylePr w:type="firstRow">
      <w:rPr>
        <w:b/>
        <w:color w:val="2a4a71" w:themeColor="accent1" w:themeShade="95"/>
      </w:rPr>
      <w:pPr>
        <w:pBdr/>
        <w:spacing/>
        <w:ind/>
      </w:pPr>
      <w:tblPr>
        <w:tblBorders/>
      </w:tblPr>
      <w:tcPr>
        <w:tcBorders>
          <w:bottom w:val="single" w:color="4f81bd" w:themeColor="accent1" w:sz="4" w:space="0"/>
        </w:tcBorders>
      </w:tcPr>
    </w:tblStylePr>
    <w:tblStylePr w:type="lastCol">
      <w:rPr>
        <w:b/>
        <w:color w:val="2a4a71" w:themeColor="accent1" w:themeShade="95"/>
      </w:rPr>
      <w:pPr>
        <w:pBdr/>
        <w:spacing/>
        <w:ind/>
      </w:pPr>
      <w:tblPr>
        <w:tblBorders/>
      </w:tblPr>
      <w:tcPr>
        <w:tcBorders/>
      </w:tcPr>
    </w:tblStylePr>
    <w:tblStylePr w:type="lastRow">
      <w:rPr>
        <w:b/>
        <w:color w:val="2a4a71" w:themeColor="accent1" w:themeShade="95"/>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9" w:customStyle="1">
    <w:name w:val="List Table 6 Colorful - Accent 2"/>
    <w:basedOn w:val="1082"/>
    <w:uiPriority w:val="99"/>
    <w:pPr>
      <w:pBdr/>
      <w:spacing/>
      <w:ind/>
    </w:pPr>
    <w:tblPr>
      <w:tblStyleRowBandSize w:val="1"/>
      <w:tblStyleColBandSize w:val="1"/>
      <w:tblBorders>
        <w:top w:val="single" w:color="d99695" w:themeColor="accent2" w:themeTint="97" w:sz="4" w:space="0"/>
        <w:bottom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9695" w:themeColor="accent2" w:themeTint="97" w:themeShade="95"/>
      </w:rPr>
      <w:pPr>
        <w:pBdr/>
        <w:spacing/>
        <w:ind/>
      </w:pPr>
      <w:tblPr>
        <w:tblBorders/>
      </w:tblPr>
      <w:tcPr>
        <w:tcBorders/>
      </w:tcPr>
    </w:tblStylePr>
    <w:tblStylePr w:type="firstRow">
      <w:rPr>
        <w:b/>
        <w:color w:val="d99695" w:themeColor="accent2" w:themeTint="97" w:themeShade="95"/>
      </w:rPr>
      <w:pPr>
        <w:pBdr/>
        <w:spacing/>
        <w:ind/>
      </w:pPr>
      <w:tblPr>
        <w:tblBorders/>
      </w:tblPr>
      <w:tcPr>
        <w:tcBorders>
          <w:bottom w:val="single" w:color="d99695" w:themeColor="accent2" w:themeTint="97" w:sz="4" w:space="0"/>
        </w:tcBorders>
      </w:tcPr>
    </w:tblStylePr>
    <w:tblStylePr w:type="lastCol">
      <w:rPr>
        <w:b/>
        <w:color w:val="d99695" w:themeColor="accent2" w:themeTint="97" w:themeShade="95"/>
      </w:rPr>
      <w:pPr>
        <w:pBdr/>
        <w:spacing/>
        <w:ind/>
      </w:pPr>
      <w:tblPr>
        <w:tblBorders/>
      </w:tblPr>
      <w:tcPr>
        <w:tcBorders/>
      </w:tcPr>
    </w:tblStylePr>
    <w:tblStylePr w:type="lastRow">
      <w:rPr>
        <w:b/>
        <w:color w:val="d99695" w:themeColor="accent2" w:themeTint="97" w:themeShade="95"/>
      </w:rPr>
      <w:pPr>
        <w:pBdr/>
        <w:spacing/>
        <w:ind/>
      </w:pPr>
      <w:tblPr>
        <w:tblBorders/>
      </w:tblPr>
      <w:tcPr>
        <w:tcBorders>
          <w:top w:val="single" w:color="d996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0" w:customStyle="1">
    <w:name w:val="List Table 6 Colorful - Accent 3"/>
    <w:basedOn w:val="1082"/>
    <w:uiPriority w:val="99"/>
    <w:pPr>
      <w:pBdr/>
      <w:spacing/>
      <w:ind/>
    </w:pPr>
    <w:tblPr>
      <w:tblStyleRowBandSize w:val="1"/>
      <w:tblStyleColBandSize w:val="1"/>
      <w:tblBorders>
        <w:top w:val="single" w:color="c3d69b" w:themeColor="accent3" w:themeTint="98" w:sz="4" w:space="0"/>
        <w:bottom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8" w:themeShade="95"/>
      </w:rPr>
      <w:pPr>
        <w:pBdr/>
        <w:spacing/>
        <w:ind/>
      </w:pPr>
      <w:tblPr>
        <w:tblBorders/>
      </w:tblPr>
      <w:tcPr>
        <w:tcBorders/>
      </w:tcPr>
    </w:tblStylePr>
    <w:tblStylePr w:type="firstRow">
      <w:rPr>
        <w:b/>
        <w:color w:val="c3d69b" w:themeColor="accent3" w:themeTint="98" w:themeShade="95"/>
      </w:rPr>
      <w:pPr>
        <w:pBdr/>
        <w:spacing/>
        <w:ind/>
      </w:pPr>
      <w:tblPr>
        <w:tblBorders/>
      </w:tblPr>
      <w:tcPr>
        <w:tcBorders>
          <w:bottom w:val="single" w:color="c3d69b" w:themeColor="accent3" w:themeTint="98" w:sz="4" w:space="0"/>
        </w:tcBorders>
      </w:tcPr>
    </w:tblStylePr>
    <w:tblStylePr w:type="lastCol">
      <w:rPr>
        <w:b/>
        <w:color w:val="c3d69b" w:themeColor="accent3" w:themeTint="98" w:themeShade="95"/>
      </w:rPr>
      <w:pPr>
        <w:pBdr/>
        <w:spacing/>
        <w:ind/>
      </w:pPr>
      <w:tblPr>
        <w:tblBorders/>
      </w:tblPr>
      <w:tcPr>
        <w:tcBorders/>
      </w:tcPr>
    </w:tblStylePr>
    <w:tblStylePr w:type="lastRow">
      <w:rPr>
        <w:b/>
        <w:color w:val="c3d69b" w:themeColor="accent3" w:themeTint="98" w:themeShade="95"/>
      </w:rPr>
      <w:pPr>
        <w:pBdr/>
        <w:spacing/>
        <w:ind/>
      </w:pPr>
      <w:tblPr>
        <w:tblBorders/>
      </w:tblPr>
      <w:tcPr>
        <w:tcBorders>
          <w:top w:val="single" w:color="c3d69b"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1" w:customStyle="1">
    <w:name w:val="List Table 6 Colorful - Accent 4"/>
    <w:basedOn w:val="1082"/>
    <w:uiPriority w:val="99"/>
    <w:pPr>
      <w:pBdr/>
      <w:spacing/>
      <w:ind/>
    </w:pPr>
    <w:tblPr>
      <w:tblStyleRowBandSize w:val="1"/>
      <w:tblStyleColBandSize w:val="1"/>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2a1c6" w:themeColor="accent4" w:themeTint="9A" w:themeShade="95"/>
      </w:rPr>
      <w:pPr>
        <w:pBdr/>
        <w:spacing/>
        <w:ind/>
      </w:pPr>
      <w:tblPr>
        <w:tblBorders/>
      </w:tblPr>
      <w:tcPr>
        <w:tcBorders/>
      </w:tcPr>
    </w:tblStylePr>
    <w:tblStylePr w:type="firstRow">
      <w:rPr>
        <w:b/>
        <w:color w:val="b2a1c6" w:themeColor="accent4" w:themeTint="9A" w:themeShade="95"/>
      </w:rPr>
      <w:pPr>
        <w:pBdr/>
        <w:spacing/>
        <w:ind/>
      </w:pPr>
      <w:tblPr>
        <w:tblBorders/>
      </w:tblPr>
      <w:tcPr>
        <w:tcBorders>
          <w:bottom w:val="single" w:color="b2a1c6" w:themeColor="accent4" w:themeTint="9A" w:sz="4" w:space="0"/>
        </w:tcBorders>
      </w:tcPr>
    </w:tblStylePr>
    <w:tblStylePr w:type="lastCol">
      <w:rPr>
        <w:b/>
        <w:color w:val="b2a1c6" w:themeColor="accent4" w:themeTint="9A" w:themeShade="95"/>
      </w:rPr>
      <w:pPr>
        <w:pBdr/>
        <w:spacing/>
        <w:ind/>
      </w:pPr>
      <w:tblPr>
        <w:tblBorders/>
      </w:tblPr>
      <w:tcPr>
        <w:tcBorders/>
      </w:tcPr>
    </w:tblStylePr>
    <w:tblStylePr w:type="lastRow">
      <w:rPr>
        <w:b/>
        <w:color w:val="b2a1c6" w:themeColor="accent4" w:themeTint="9A" w:themeShade="95"/>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2" w:customStyle="1">
    <w:name w:val="List Table 6 Colorful - Accent 5"/>
    <w:basedOn w:val="1082"/>
    <w:uiPriority w:val="99"/>
    <w:pPr>
      <w:pBdr/>
      <w:spacing/>
      <w:ind/>
    </w:pPr>
    <w:tblPr>
      <w:tblStyleRowBandSize w:val="1"/>
      <w:tblStyleColBandSize w:val="1"/>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2ccdc" w:themeColor="accent5" w:themeTint="9A" w:themeShade="95"/>
      </w:rPr>
      <w:pPr>
        <w:pBdr/>
        <w:spacing/>
        <w:ind/>
      </w:pPr>
      <w:tblPr>
        <w:tblBorders/>
      </w:tblPr>
      <w:tcPr>
        <w:tcBorders/>
      </w:tcPr>
    </w:tblStylePr>
    <w:tblStylePr w:type="firstRow">
      <w:rPr>
        <w:b/>
        <w:color w:val="92ccdc" w:themeColor="accent5" w:themeTint="9A" w:themeShade="95"/>
      </w:rPr>
      <w:pPr>
        <w:pBdr/>
        <w:spacing/>
        <w:ind/>
      </w:pPr>
      <w:tblPr>
        <w:tblBorders/>
      </w:tblPr>
      <w:tcPr>
        <w:tcBorders>
          <w:bottom w:val="single" w:color="92ccdc" w:themeColor="accent5" w:themeTint="9A" w:sz="4" w:space="0"/>
        </w:tcBorders>
      </w:tcPr>
    </w:tblStylePr>
    <w:tblStylePr w:type="lastCol">
      <w:rPr>
        <w:b/>
        <w:color w:val="92ccdc" w:themeColor="accent5" w:themeTint="9A" w:themeShade="95"/>
      </w:rPr>
      <w:pPr>
        <w:pBdr/>
        <w:spacing/>
        <w:ind/>
      </w:pPr>
      <w:tblPr>
        <w:tblBorders/>
      </w:tblPr>
      <w:tcPr>
        <w:tcBorders/>
      </w:tcPr>
    </w:tblStylePr>
    <w:tblStylePr w:type="lastRow">
      <w:rPr>
        <w:b/>
        <w:color w:val="92ccdc" w:themeColor="accent5" w:themeTint="9A" w:themeShade="95"/>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3" w:customStyle="1">
    <w:name w:val="List Table 6 Colorful - Accent 6"/>
    <w:basedOn w:val="1082"/>
    <w:uiPriority w:val="99"/>
    <w:pPr>
      <w:pBdr/>
      <w:spacing/>
      <w:ind/>
    </w:pPr>
    <w:tblPr>
      <w:tblStyleRowBandSize w:val="1"/>
      <w:tblStyleColBandSize w:val="1"/>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8" w:themeShade="95"/>
      </w:rPr>
      <w:pPr>
        <w:pBdr/>
        <w:spacing/>
        <w:ind/>
      </w:pPr>
      <w:tblPr>
        <w:tblBorders/>
      </w:tblPr>
      <w:tcPr>
        <w:tcBorders/>
      </w:tcPr>
    </w:tblStylePr>
    <w:tblStylePr w:type="firstRow">
      <w:rPr>
        <w:b/>
        <w:color w:val="fac090" w:themeColor="accent6" w:themeTint="98" w:themeShade="95"/>
      </w:rPr>
      <w:pPr>
        <w:pBdr/>
        <w:spacing/>
        <w:ind/>
      </w:pPr>
      <w:tblPr>
        <w:tblBorders/>
      </w:tblPr>
      <w:tcPr>
        <w:tcBorders>
          <w:bottom w:val="single" w:color="fac090" w:themeColor="accent6" w:themeTint="98" w:sz="4" w:space="0"/>
        </w:tcBorders>
      </w:tcPr>
    </w:tblStylePr>
    <w:tblStylePr w:type="lastCol">
      <w:rPr>
        <w:b/>
        <w:color w:val="fac090" w:themeColor="accent6" w:themeTint="98" w:themeShade="95"/>
      </w:rPr>
      <w:pPr>
        <w:pBdr/>
        <w:spacing/>
        <w:ind/>
      </w:pPr>
      <w:tblPr>
        <w:tblBorders/>
      </w:tblPr>
      <w:tcPr>
        <w:tcBorders/>
      </w:tcPr>
    </w:tblStylePr>
    <w:tblStylePr w:type="lastRow">
      <w:rPr>
        <w:b/>
        <w:color w:val="fac090" w:themeColor="accent6" w:themeTint="98" w:themeShade="95"/>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name w:val="List Table 7 Colorful"/>
    <w:basedOn w:val="1082"/>
    <w:uiPriority w:val="99"/>
    <w:pPr>
      <w:pBdr/>
      <w:spacing/>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5" w:customStyle="1">
    <w:name w:val="List Table 7 Colorful - Accent 1"/>
    <w:basedOn w:val="1082"/>
    <w:uiPriority w:val="99"/>
    <w:pPr>
      <w:pBdr/>
      <w:spacing/>
      <w:ind/>
    </w:pPr>
    <w:tblPr>
      <w:tblStyleRowBandSize w:val="1"/>
      <w:tblStyleColBandSize w:val="1"/>
      <w:tblBorders>
        <w:right w:val="single" w:color="4f81bd" w:themeColor="accent1" w:sz="4" w:space="0"/>
      </w:tblBorders>
    </w:tblPr>
    <w:tcPr>
      <w:tcBorders/>
    </w:tcPr>
    <w:tblStylePr w:type="band1Horz">
      <w:rPr>
        <w:rFonts w:ascii="Arial" w:hAnsi="Arial"/>
        <w:color w:val="2a4a71" w:themeColor="accent1" w:themeShade="95"/>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a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a71"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6" w:customStyle="1">
    <w:name w:val="List Table 7 Colorful - Accent 2"/>
    <w:basedOn w:val="1082"/>
    <w:uiPriority w:val="99"/>
    <w:pPr>
      <w:pBdr/>
      <w:spacing/>
      <w:ind/>
    </w:pPr>
    <w:tblPr>
      <w:tblStyleRowBandSize w:val="1"/>
      <w:tblStyleColBandSize w:val="1"/>
      <w:tblBorders>
        <w:right w:val="single" w:color="d99695" w:themeColor="accent2" w:themeTint="97" w:sz="4" w:space="0"/>
      </w:tblBorders>
    </w:tblPr>
    <w:tcPr>
      <w:tcBorders/>
    </w:tcPr>
    <w:tblStylePr w:type="band1Horz">
      <w:rPr>
        <w:rFonts w:ascii="Arial" w:hAnsi="Arial"/>
        <w:color w:val="d99695" w:themeColor="accent2" w:themeTint="97" w:themeShade="95"/>
        <w:sz w:val="22"/>
      </w:rPr>
      <w:pPr>
        <w:pBdr/>
        <w:spacing/>
        <w:ind/>
      </w:pPr>
      <w:tblPr>
        <w:tblBorders/>
      </w:tblPr>
      <w:tcPr>
        <w:shd w:val="clear" w:color="efd2d2" w:themeColor="accent2" w:themeTint="40" w:fill="efd2d2" w:themeFill="accent2" w:themeFillTint="40"/>
        <w:tcBorders/>
      </w:tcPr>
    </w:tblStylePr>
    <w:tblStylePr w:type="band1Vert">
      <w:pPr>
        <w:pBdr/>
        <w:spacing/>
        <w:ind/>
      </w:pPr>
      <w:tblPr>
        <w:tblBorders/>
      </w:tblPr>
      <w:tcPr>
        <w:shd w:val="clear" w:color="efd2d2" w:themeColor="accent2" w:themeTint="40" w:fill="efd2d2" w:themeFill="accent2" w:themeFillTint="40"/>
        <w:tcBorders/>
      </w:tcPr>
    </w:tblStylePr>
    <w:tblStylePr w:type="band2Horz">
      <w:rPr>
        <w:rFonts w:ascii="Arial" w:hAnsi="Arial"/>
        <w:color w:val="d9969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9695"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pPr>
        <w:pBdr/>
        <w:spacing/>
        <w:ind/>
      </w:pPr>
      <w:tblPr>
        <w:tblBorders/>
      </w:tbl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pPr>
        <w:pBdr/>
        <w:spacing/>
        <w:ind/>
      </w:pPr>
      <w:tblPr>
        <w:tblBorders/>
      </w:tbl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7" w:customStyle="1">
    <w:name w:val="List Table 7 Colorful - Accent 3"/>
    <w:basedOn w:val="1082"/>
    <w:uiPriority w:val="99"/>
    <w:pPr>
      <w:pBdr/>
      <w:spacing/>
      <w:ind/>
    </w:pPr>
    <w:tblPr>
      <w:tblStyleRowBandSize w:val="1"/>
      <w:tblStyleColBandSize w:val="1"/>
      <w:tblBorders>
        <w:right w:val="single" w:color="c3d69b" w:themeColor="accent3" w:themeTint="98" w:sz="4" w:space="0"/>
      </w:tblBorders>
    </w:tblPr>
    <w:tcPr>
      <w:tcBorders/>
    </w:tcPr>
    <w:tblStylePr w:type="band1Horz">
      <w:rPr>
        <w:rFonts w:ascii="Arial" w:hAnsi="Arial"/>
        <w:color w:val="c3d69b" w:themeColor="accent3" w:themeTint="98" w:themeShade="95"/>
        <w:sz w:val="22"/>
      </w:rPr>
      <w:pPr>
        <w:pBdr/>
        <w:spacing/>
        <w:ind/>
      </w:pPr>
      <w:tblPr>
        <w:tblBorders/>
      </w:tblPr>
      <w:tcPr>
        <w:shd w:val="clear" w:color="e5eed5" w:themeColor="accent3" w:themeTint="40" w:fill="e5eed5" w:themeFill="accent3" w:themeFillTint="40"/>
        <w:tcBorders/>
      </w:tcPr>
    </w:tblStylePr>
    <w:tblStylePr w:type="band1Vert">
      <w:pPr>
        <w:pBdr/>
        <w:spacing/>
        <w:ind/>
      </w:pPr>
      <w:tblPr>
        <w:tblBorders/>
      </w:tblPr>
      <w:tcPr>
        <w:shd w:val="clear" w:color="e5eed5" w:themeColor="accent3" w:themeTint="40" w:fill="e5eed5" w:themeFill="accent3" w:themeFillTint="40"/>
        <w:tcBorders/>
      </w:tcPr>
    </w:tblStylePr>
    <w:tblStylePr w:type="band2Horz">
      <w:rPr>
        <w:rFonts w:ascii="Arial" w:hAnsi="Arial"/>
        <w:color w:val="c3d69b"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pPr>
        <w:pBdr/>
        <w:spacing/>
        <w:ind/>
      </w:pPr>
      <w:tblPr>
        <w:tblBorders/>
      </w:tbl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pPr>
        <w:pBdr/>
        <w:spacing/>
        <w:ind/>
      </w:pPr>
      <w:tblPr>
        <w:tblBorders/>
      </w:tbl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8" w:customStyle="1">
    <w:name w:val="List Table 7 Colorful - Accent 4"/>
    <w:basedOn w:val="1082"/>
    <w:uiPriority w:val="99"/>
    <w:pPr>
      <w:pBdr/>
      <w:spacing/>
      <w:ind/>
    </w:pPr>
    <w:tblPr>
      <w:tblStyleRowBandSize w:val="1"/>
      <w:tblStyleColBandSize w:val="1"/>
      <w:tblBorders>
        <w:right w:val="single" w:color="b2a1c6" w:themeColor="accent4" w:themeTint="9A" w:sz="4" w:space="0"/>
      </w:tblBorders>
    </w:tblPr>
    <w:tcPr>
      <w:tcBorders/>
    </w:tcPr>
    <w:tblStylePr w:type="band1Horz">
      <w:rPr>
        <w:rFonts w:ascii="Arial" w:hAnsi="Arial"/>
        <w:color w:val="b2a1c6" w:themeColor="accent4" w:themeTint="9A" w:themeShade="95"/>
        <w:sz w:val="22"/>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2a1c6"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a1c6"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9" w:customStyle="1">
    <w:name w:val="List Table 7 Colorful - Accent 5"/>
    <w:basedOn w:val="1082"/>
    <w:uiPriority w:val="99"/>
    <w:pPr>
      <w:pBdr/>
      <w:spacing/>
      <w:ind/>
    </w:pPr>
    <w:tblPr>
      <w:tblStyleRowBandSize w:val="1"/>
      <w:tblStyleColBandSize w:val="1"/>
      <w:tblBorders>
        <w:right w:val="single" w:color="92ccdc" w:themeColor="accent5" w:themeTint="9A" w:sz="4" w:space="0"/>
      </w:tblBorders>
    </w:tblPr>
    <w:tcPr>
      <w:tcBorders/>
    </w:tcPr>
    <w:tblStylePr w:type="band1Horz">
      <w:rPr>
        <w:rFonts w:ascii="Arial" w:hAnsi="Arial"/>
        <w:color w:val="92ccdc" w:themeColor="accent5" w:themeTint="9A" w:themeShade="95"/>
        <w:sz w:val="22"/>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2ccdc"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2ccdc"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0" w:customStyle="1">
    <w:name w:val="List Table 7 Colorful - Accent 6"/>
    <w:basedOn w:val="1082"/>
    <w:uiPriority w:val="99"/>
    <w:pPr>
      <w:pBdr/>
      <w:spacing/>
      <w:ind/>
    </w:pPr>
    <w:tblPr>
      <w:tblStyleRowBandSize w:val="1"/>
      <w:tblStyleColBandSize w:val="1"/>
      <w:tblBorders>
        <w:right w:val="single" w:color="fac090" w:themeColor="accent6" w:themeTint="98" w:sz="4" w:space="0"/>
      </w:tblBorders>
    </w:tblPr>
    <w:tcPr>
      <w:tcBorders/>
    </w:tcPr>
    <w:tblStylePr w:type="band1Horz">
      <w:rPr>
        <w:rFonts w:ascii="Arial" w:hAnsi="Arial"/>
        <w:color w:val="fac090" w:themeColor="accent6" w:themeTint="98" w:themeShade="95"/>
        <w:sz w:val="22"/>
      </w:rPr>
      <w:pPr>
        <w:pBdr/>
        <w:spacing/>
        <w:ind/>
      </w:pPr>
      <w:tblPr>
        <w:tblBorders/>
      </w:tblPr>
      <w:tcPr>
        <w:shd w:val="clear" w:color="fde4d0" w:themeColor="accent6" w:themeTint="40" w:fill="fde4d0" w:themeFill="accent6" w:themeFillTint="40"/>
        <w:tcBorders/>
      </w:tcPr>
    </w:tblStylePr>
    <w:tblStylePr w:type="band1Vert">
      <w:pPr>
        <w:pBdr/>
        <w:spacing/>
        <w:ind/>
      </w:pPr>
      <w:tblPr>
        <w:tblBorders/>
      </w:tblPr>
      <w:tcPr>
        <w:shd w:val="clear" w:color="fde4d0" w:themeColor="accent6" w:themeTint="40" w:fill="fde4d0" w:themeFill="accent6" w:themeFillTint="40"/>
        <w:tcBorders/>
      </w:tcPr>
    </w:tblStylePr>
    <w:tblStylePr w:type="band2Horz">
      <w:rPr>
        <w:rFonts w:ascii="Arial" w:hAnsi="Arial"/>
        <w:color w:val="fac09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1" w:customStyle="1">
    <w:name w:val="Lined - Accent"/>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customStyle="1">
    <w:name w:val="Lined - Accent 1"/>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3" w:customStyle="1">
    <w:name w:val="Lined - Accent 2"/>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4" w:customStyle="1">
    <w:name w:val="Lined - Accent 3"/>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5" w:customStyle="1">
    <w:name w:val="Lined - Accent 4"/>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6" w:customStyle="1">
    <w:name w:val="Lined - Accent 5"/>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7" w:customStyle="1">
    <w:name w:val="Lined - Accent 6"/>
    <w:basedOn w:val="1082"/>
    <w:uiPriority w:val="99"/>
    <w:pPr>
      <w:pBdr/>
      <w:spacing/>
      <w:ind/>
    </w:pPr>
    <w:rPr>
      <w:color w:val="40404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8" w:customStyle="1">
    <w:name w:val="Bordered &amp; Lined - Accent"/>
    <w:basedOn w:val="1082"/>
    <w:uiPriority w:val="99"/>
    <w:pPr>
      <w:pBdr/>
      <w:spacing/>
      <w:ind/>
    </w:pPr>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9" w:customStyle="1">
    <w:name w:val="Bordered &amp; Lined - Accent 1"/>
    <w:basedOn w:val="1082"/>
    <w:uiPriority w:val="99"/>
    <w:pPr>
      <w:pBdr/>
      <w:spacing/>
      <w:ind/>
    </w:pPr>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fir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Col">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lastRow">
      <w:rPr>
        <w:rFonts w:ascii="Arial" w:hAnsi="Arial"/>
        <w:color w:val="f2f2f2"/>
        <w:sz w:val="22"/>
      </w:rPr>
      <w:pPr>
        <w:pBdr/>
        <w:spacing/>
        <w:ind/>
      </w:pPr>
      <w:tblPr>
        <w:tblBorders/>
      </w:tblPr>
      <w:tcPr>
        <w:shd w:val="clear" w:color="5d8ac2" w:themeColor="accent1" w:themeTint="EA" w:fill="5d8a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0" w:customStyle="1">
    <w:name w:val="Bordered &amp; Lined - Accent 2"/>
    <w:basedOn w:val="1082"/>
    <w:uiPriority w:val="99"/>
    <w:pPr>
      <w:pBdr/>
      <w:spacing/>
      <w:ind/>
    </w:pPr>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fir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Col">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lastRow">
      <w:rPr>
        <w:rFonts w:ascii="Arial" w:hAnsi="Arial"/>
        <w:color w:val="f2f2f2"/>
        <w:sz w:val="22"/>
      </w:rPr>
      <w:pPr>
        <w:pBdr/>
        <w:spacing/>
        <w:ind/>
      </w:pPr>
      <w:tblPr>
        <w:tblBorders/>
      </w:tblPr>
      <w:tcPr>
        <w:shd w:val="clear" w:color="d99695" w:themeColor="accent2" w:themeTint="97" w:fill="d996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1" w:customStyle="1">
    <w:name w:val="Bordered &amp; Lined - Accent 3"/>
    <w:basedOn w:val="1082"/>
    <w:uiPriority w:val="99"/>
    <w:pPr>
      <w:pBdr/>
      <w:spacing/>
      <w:ind/>
    </w:pPr>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band2Vert">
      <w:rPr>
        <w:rFonts w:ascii="Arial" w:hAnsi="Arial"/>
        <w:color w:val="404040"/>
        <w:sz w:val="22"/>
      </w:rPr>
      <w:pPr>
        <w:pBdr/>
        <w:spacing/>
        <w:ind/>
      </w:pPr>
      <w:tblPr>
        <w:tblBorders/>
      </w:tblPr>
      <w:tcPr>
        <w:shd w:val="clear" w:color="eaf1dc" w:themeColor="accent3" w:themeTint="34" w:fill="eaf1dc" w:themeFill="accent3" w:themeFillTint="34"/>
        <w:tcBorders/>
      </w:tcPr>
    </w:tblStylePr>
    <w:tblStylePr w:type="fir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fir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Col">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lastRow">
      <w:rPr>
        <w:rFonts w:ascii="Arial" w:hAnsi="Arial"/>
        <w:color w:val="f2f2f2"/>
        <w:sz w:val="22"/>
      </w:rPr>
      <w:pPr>
        <w:pBdr/>
        <w:spacing/>
        <w:ind/>
      </w:pPr>
      <w:tblPr>
        <w:tblBorders/>
      </w:tblPr>
      <w:tcPr>
        <w:shd w:val="clear" w:color="9abb59" w:themeColor="accent3" w:themeTint="FE" w:fill="9a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2" w:customStyle="1">
    <w:name w:val="Bordered &amp; Lined - Accent 4"/>
    <w:basedOn w:val="1082"/>
    <w:uiPriority w:val="99"/>
    <w:pPr>
      <w:pBdr/>
      <w:spacing/>
      <w:ind/>
    </w:pPr>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3" w:customStyle="1">
    <w:name w:val="Bordered &amp; Lined - Accent 5"/>
    <w:basedOn w:val="1082"/>
    <w:uiPriority w:val="99"/>
    <w:pPr>
      <w:pBdr/>
      <w:spacing/>
      <w:ind/>
    </w:pPr>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4" w:customStyle="1">
    <w:name w:val="Bordered &amp; Lined - Accent 6"/>
    <w:basedOn w:val="1082"/>
    <w:uiPriority w:val="99"/>
    <w:pPr>
      <w:pBdr/>
      <w:spacing/>
      <w:ind/>
    </w:pPr>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de9d8"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5" w:customStyle="1">
    <w:name w:val="Bordered"/>
    <w:basedOn w:val="1082"/>
    <w:uiPriority w:val="99"/>
    <w:pPr>
      <w:pBdr/>
      <w:spacing/>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6" w:customStyle="1">
    <w:name w:val="Bordered - Accent 1"/>
    <w:basedOn w:val="1082"/>
    <w:uiPriority w:val="99"/>
    <w:pPr>
      <w:pBdr/>
      <w:spacing/>
      <w:ind/>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7" w:customStyle="1">
    <w:name w:val="Bordered - Accent 2"/>
    <w:basedOn w:val="1082"/>
    <w:uiPriority w:val="99"/>
    <w:pPr>
      <w:pBdr/>
      <w:spacing/>
      <w:ind/>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695" w:themeColor="accent2" w:themeTint="97" w:sz="12" w:space="0"/>
        </w:tcBorders>
      </w:tcPr>
    </w:tblStylePr>
    <w:tblStylePr w:type="lastCol">
      <w:rPr>
        <w:rFonts w:ascii="Arial" w:hAnsi="Arial"/>
        <w:color w:val="404040"/>
        <w:sz w:val="22"/>
      </w:rPr>
      <w:pPr>
        <w:pBdr/>
        <w:spacing/>
        <w:ind/>
      </w:pPr>
      <w:tblPr>
        <w:tblBorders/>
      </w:tblPr>
      <w:tcPr>
        <w:tcBorders>
          <w:left w:val="single" w:color="d99695" w:themeColor="accent2" w:themeTint="97" w:sz="12" w:space="0"/>
        </w:tcBorders>
      </w:tcPr>
    </w:tblStylePr>
    <w:tblStylePr w:type="lastRow">
      <w:rPr>
        <w:rFonts w:ascii="Arial" w:hAnsi="Arial"/>
        <w:color w:val="404040"/>
        <w:sz w:val="22"/>
      </w:rPr>
      <w:pPr>
        <w:pBdr/>
        <w:spacing/>
        <w:ind/>
      </w:pPr>
      <w:tblPr>
        <w:tblBorders/>
      </w:tblPr>
      <w:tcPr>
        <w:tcBorders>
          <w:top w:val="single" w:color="d996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8" w:customStyle="1">
    <w:name w:val="Bordered - Accent 3"/>
    <w:basedOn w:val="1082"/>
    <w:uiPriority w:val="99"/>
    <w:pPr>
      <w:pBdr/>
      <w:spacing/>
      <w:ind/>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b" w:themeColor="accent3" w:themeTint="98" w:sz="12" w:space="0"/>
        </w:tcBorders>
      </w:tcPr>
    </w:tblStylePr>
    <w:tblStylePr w:type="lastCol">
      <w:rPr>
        <w:rFonts w:ascii="Arial" w:hAnsi="Arial"/>
        <w:color w:val="404040"/>
        <w:sz w:val="22"/>
      </w:rPr>
      <w:pPr>
        <w:pBdr/>
        <w:spacing/>
        <w:ind/>
      </w:pPr>
      <w:tblPr>
        <w:tblBorders/>
      </w:tblPr>
      <w:tcPr>
        <w:tcBorders>
          <w:left w:val="single" w:color="c3d69b" w:themeColor="accent3" w:themeTint="98" w:sz="12" w:space="0"/>
        </w:tcBorders>
      </w:tcPr>
    </w:tblStylePr>
    <w:tblStylePr w:type="lastRow">
      <w:rPr>
        <w:rFonts w:ascii="Arial" w:hAnsi="Arial"/>
        <w:color w:val="404040"/>
        <w:sz w:val="22"/>
      </w:rPr>
      <w:pPr>
        <w:pBdr/>
        <w:spacing/>
        <w:ind/>
      </w:pPr>
      <w:tblPr>
        <w:tblBorders/>
      </w:tblPr>
      <w:tcPr>
        <w:tcBorders>
          <w:top w:val="single" w:color="c3d69b"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9" w:customStyle="1">
    <w:name w:val="Bordered - Accent 4"/>
    <w:basedOn w:val="1082"/>
    <w:uiPriority w:val="99"/>
    <w:pPr>
      <w:pBdr/>
      <w:spacing/>
      <w:ind/>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0" w:customStyle="1">
    <w:name w:val="Bordered - Accent 5"/>
    <w:basedOn w:val="1082"/>
    <w:uiPriority w:val="99"/>
    <w:pPr>
      <w:pBdr/>
      <w:spacing/>
      <w:ind/>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1" w:customStyle="1">
    <w:name w:val="Bordered - Accent 6"/>
    <w:basedOn w:val="1082"/>
    <w:uiPriority w:val="99"/>
    <w:pPr>
      <w:pBdr/>
      <w:spacing/>
      <w:ind/>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22" w:customStyle="1">
    <w:name w:val="Titre 1 Car"/>
    <w:basedOn w:val="1081"/>
    <w:link w:val="1072"/>
    <w:uiPriority w:val="9"/>
    <w:pPr>
      <w:pBdr/>
      <w:spacing/>
      <w:ind/>
    </w:pPr>
    <w:rPr>
      <w:rFonts w:ascii="Arial" w:hAnsi="Arial" w:eastAsia="Arial" w:cs="Arial"/>
      <w:color w:val="365f91" w:themeColor="accent1" w:themeShade="BF"/>
      <w:sz w:val="40"/>
      <w:szCs w:val="40"/>
    </w:rPr>
  </w:style>
  <w:style w:type="character" w:styleId="1223" w:customStyle="1">
    <w:name w:val="Heading 2 Char"/>
    <w:basedOn w:val="1081"/>
    <w:uiPriority w:val="9"/>
    <w:pPr>
      <w:pBdr/>
      <w:spacing/>
      <w:ind/>
    </w:pPr>
    <w:rPr>
      <w:rFonts w:ascii="Arial" w:hAnsi="Arial" w:eastAsia="Arial" w:cs="Arial"/>
      <w:color w:val="365f91" w:themeColor="accent1" w:themeShade="BF"/>
      <w:sz w:val="32"/>
      <w:szCs w:val="32"/>
    </w:rPr>
  </w:style>
  <w:style w:type="character" w:styleId="1224" w:customStyle="1">
    <w:name w:val="Titre 3 Car"/>
    <w:basedOn w:val="1081"/>
    <w:link w:val="1074"/>
    <w:uiPriority w:val="9"/>
    <w:pPr>
      <w:pBdr/>
      <w:spacing/>
      <w:ind/>
    </w:pPr>
    <w:rPr>
      <w:rFonts w:ascii="Arial" w:hAnsi="Arial" w:eastAsia="Arial" w:cs="Arial"/>
      <w:color w:val="365f91" w:themeColor="accent1" w:themeShade="BF"/>
      <w:sz w:val="28"/>
      <w:szCs w:val="28"/>
    </w:rPr>
  </w:style>
  <w:style w:type="character" w:styleId="1225" w:customStyle="1">
    <w:name w:val="Titre 4 Car"/>
    <w:basedOn w:val="1081"/>
    <w:link w:val="1075"/>
    <w:uiPriority w:val="9"/>
    <w:pPr>
      <w:pBdr/>
      <w:spacing/>
      <w:ind/>
    </w:pPr>
    <w:rPr>
      <w:rFonts w:ascii="Arial" w:hAnsi="Arial" w:eastAsia="Arial" w:cs="Arial"/>
      <w:i/>
      <w:iCs/>
      <w:color w:val="365f91" w:themeColor="accent1" w:themeShade="BF"/>
    </w:rPr>
  </w:style>
  <w:style w:type="character" w:styleId="1226" w:customStyle="1">
    <w:name w:val="Titre 5 Car"/>
    <w:basedOn w:val="1081"/>
    <w:link w:val="1076"/>
    <w:uiPriority w:val="9"/>
    <w:pPr>
      <w:pBdr/>
      <w:spacing/>
      <w:ind/>
    </w:pPr>
    <w:rPr>
      <w:rFonts w:ascii="Arial" w:hAnsi="Arial" w:eastAsia="Arial" w:cs="Arial"/>
      <w:color w:val="365f91" w:themeColor="accent1" w:themeShade="BF"/>
    </w:rPr>
  </w:style>
  <w:style w:type="character" w:styleId="1227" w:customStyle="1">
    <w:name w:val="Titre 6 Car"/>
    <w:basedOn w:val="1081"/>
    <w:link w:val="1077"/>
    <w:uiPriority w:val="9"/>
    <w:pPr>
      <w:pBdr/>
      <w:spacing/>
      <w:ind/>
    </w:pPr>
    <w:rPr>
      <w:rFonts w:ascii="Arial" w:hAnsi="Arial" w:eastAsia="Arial" w:cs="Arial"/>
      <w:i/>
      <w:iCs/>
      <w:color w:val="595959" w:themeColor="text1" w:themeTint="A6"/>
    </w:rPr>
  </w:style>
  <w:style w:type="character" w:styleId="1228" w:customStyle="1">
    <w:name w:val="Titre 7 Car"/>
    <w:basedOn w:val="1081"/>
    <w:link w:val="1078"/>
    <w:uiPriority w:val="9"/>
    <w:pPr>
      <w:pBdr/>
      <w:spacing/>
      <w:ind/>
    </w:pPr>
    <w:rPr>
      <w:rFonts w:ascii="Arial" w:hAnsi="Arial" w:eastAsia="Arial" w:cs="Arial"/>
      <w:color w:val="595959" w:themeColor="text1" w:themeTint="A6"/>
    </w:rPr>
  </w:style>
  <w:style w:type="character" w:styleId="1229" w:customStyle="1">
    <w:name w:val="Titre 8 Car"/>
    <w:basedOn w:val="1081"/>
    <w:link w:val="1079"/>
    <w:uiPriority w:val="9"/>
    <w:pPr>
      <w:pBdr/>
      <w:spacing/>
      <w:ind/>
    </w:pPr>
    <w:rPr>
      <w:rFonts w:ascii="Arial" w:hAnsi="Arial" w:eastAsia="Arial" w:cs="Arial"/>
      <w:i/>
      <w:iCs/>
      <w:color w:val="272727" w:themeColor="text1" w:themeTint="D8"/>
    </w:rPr>
  </w:style>
  <w:style w:type="character" w:styleId="1230" w:customStyle="1">
    <w:name w:val="Titre 9 Car"/>
    <w:basedOn w:val="1081"/>
    <w:link w:val="1080"/>
    <w:uiPriority w:val="9"/>
    <w:pPr>
      <w:pBdr/>
      <w:spacing/>
      <w:ind/>
    </w:pPr>
    <w:rPr>
      <w:rFonts w:ascii="Arial" w:hAnsi="Arial" w:eastAsia="Arial" w:cs="Arial"/>
      <w:i/>
      <w:iCs/>
      <w:color w:val="272727" w:themeColor="text1" w:themeTint="D8"/>
    </w:rPr>
  </w:style>
  <w:style w:type="character" w:styleId="1231" w:customStyle="1">
    <w:name w:val="Titre Car"/>
    <w:basedOn w:val="1081"/>
    <w:link w:val="1276"/>
    <w:uiPriority w:val="10"/>
    <w:pPr>
      <w:pBdr/>
      <w:spacing/>
      <w:ind/>
    </w:pPr>
    <w:rPr>
      <w:rFonts w:ascii="Arial" w:hAnsi="Arial" w:eastAsia="Arial" w:cs="Arial"/>
      <w:spacing w:val="-10"/>
      <w:sz w:val="56"/>
      <w:szCs w:val="56"/>
    </w:rPr>
  </w:style>
  <w:style w:type="paragraph" w:styleId="1232">
    <w:name w:val="Subtitle"/>
    <w:basedOn w:val="1071"/>
    <w:next w:val="1071"/>
    <w:link w:val="1233"/>
    <w:uiPriority w:val="11"/>
    <w:qFormat/>
    <w:pPr>
      <w:numPr>
        <w:ilvl w:val="1"/>
      </w:numPr>
      <w:pBdr/>
      <w:spacing/>
      <w:ind/>
    </w:pPr>
    <w:rPr>
      <w:color w:val="595959" w:themeColor="text1" w:themeTint="A6"/>
      <w:spacing w:val="15"/>
      <w:sz w:val="28"/>
      <w:szCs w:val="28"/>
    </w:rPr>
  </w:style>
  <w:style w:type="character" w:styleId="1233" w:customStyle="1">
    <w:name w:val="Sous-titre Car"/>
    <w:basedOn w:val="1081"/>
    <w:link w:val="1232"/>
    <w:uiPriority w:val="11"/>
    <w:pPr>
      <w:pBdr/>
      <w:spacing/>
      <w:ind/>
    </w:pPr>
    <w:rPr>
      <w:color w:val="595959" w:themeColor="text1" w:themeTint="A6"/>
      <w:spacing w:val="15"/>
      <w:sz w:val="28"/>
      <w:szCs w:val="28"/>
    </w:rPr>
  </w:style>
  <w:style w:type="paragraph" w:styleId="1234">
    <w:name w:val="Quote"/>
    <w:basedOn w:val="1071"/>
    <w:next w:val="1071"/>
    <w:link w:val="1235"/>
    <w:uiPriority w:val="29"/>
    <w:qFormat/>
    <w:pPr>
      <w:pBdr/>
      <w:spacing w:before="160"/>
      <w:ind/>
      <w:jc w:val="center"/>
    </w:pPr>
    <w:rPr>
      <w:i/>
      <w:iCs/>
      <w:color w:val="404040" w:themeColor="text1" w:themeTint="BF"/>
    </w:rPr>
  </w:style>
  <w:style w:type="character" w:styleId="1235" w:customStyle="1">
    <w:name w:val="Citation Car"/>
    <w:basedOn w:val="1081"/>
    <w:link w:val="1234"/>
    <w:uiPriority w:val="29"/>
    <w:pPr>
      <w:pBdr/>
      <w:spacing/>
      <w:ind/>
    </w:pPr>
    <w:rPr>
      <w:i/>
      <w:iCs/>
      <w:color w:val="404040" w:themeColor="text1" w:themeTint="BF"/>
    </w:rPr>
  </w:style>
  <w:style w:type="character" w:styleId="1236">
    <w:name w:val="Intense Emphasis"/>
    <w:basedOn w:val="1081"/>
    <w:uiPriority w:val="21"/>
    <w:qFormat/>
    <w:pPr>
      <w:pBdr/>
      <w:spacing/>
      <w:ind/>
    </w:pPr>
    <w:rPr>
      <w:i/>
      <w:iCs/>
      <w:color w:val="365f91" w:themeColor="accent1" w:themeShade="BF"/>
    </w:rPr>
  </w:style>
  <w:style w:type="paragraph" w:styleId="1237">
    <w:name w:val="Intense Quote"/>
    <w:basedOn w:val="1071"/>
    <w:next w:val="1071"/>
    <w:link w:val="1238"/>
    <w:uiPriority w:val="30"/>
    <w:qFormat/>
    <w:pPr>
      <w:pBdr>
        <w:top w:val="single" w:color="365f91" w:themeColor="accent1" w:themeShade="BF" w:sz="4" w:space="10"/>
        <w:bottom w:val="single" w:color="365f91" w:themeColor="accent1" w:themeShade="BF" w:sz="4" w:space="10"/>
      </w:pBdr>
      <w:spacing w:after="360" w:before="360"/>
      <w:ind w:right="864" w:left="864"/>
      <w:jc w:val="center"/>
    </w:pPr>
    <w:rPr>
      <w:i/>
      <w:iCs/>
      <w:color w:val="365f91" w:themeColor="accent1" w:themeShade="BF"/>
    </w:rPr>
  </w:style>
  <w:style w:type="character" w:styleId="1238" w:customStyle="1">
    <w:name w:val="Citation intense Car"/>
    <w:basedOn w:val="1081"/>
    <w:link w:val="1237"/>
    <w:uiPriority w:val="30"/>
    <w:pPr>
      <w:pBdr/>
      <w:spacing/>
      <w:ind/>
    </w:pPr>
    <w:rPr>
      <w:i/>
      <w:iCs/>
      <w:color w:val="365f91" w:themeColor="accent1" w:themeShade="BF"/>
    </w:rPr>
  </w:style>
  <w:style w:type="character" w:styleId="1239">
    <w:name w:val="Intense Reference"/>
    <w:basedOn w:val="1081"/>
    <w:uiPriority w:val="32"/>
    <w:qFormat/>
    <w:pPr>
      <w:pBdr/>
      <w:spacing/>
      <w:ind/>
    </w:pPr>
    <w:rPr>
      <w:b/>
      <w:bCs/>
      <w:smallCaps/>
      <w:color w:val="365f91" w:themeColor="accent1" w:themeShade="BF"/>
      <w:spacing w:val="5"/>
    </w:rPr>
  </w:style>
  <w:style w:type="paragraph" w:styleId="1240">
    <w:name w:val="No Spacing"/>
    <w:basedOn w:val="1071"/>
    <w:uiPriority w:val="1"/>
    <w:qFormat/>
    <w:pPr>
      <w:pBdr/>
      <w:spacing w:line="240" w:lineRule="auto"/>
      <w:ind/>
    </w:pPr>
  </w:style>
  <w:style w:type="character" w:styleId="1241">
    <w:name w:val="Subtle Emphasis"/>
    <w:basedOn w:val="1081"/>
    <w:uiPriority w:val="19"/>
    <w:qFormat/>
    <w:pPr>
      <w:pBdr/>
      <w:spacing/>
      <w:ind/>
    </w:pPr>
    <w:rPr>
      <w:i/>
      <w:iCs/>
      <w:color w:val="404040" w:themeColor="text1" w:themeTint="BF"/>
    </w:rPr>
  </w:style>
  <w:style w:type="character" w:styleId="1242">
    <w:name w:val="Subtle Reference"/>
    <w:basedOn w:val="1081"/>
    <w:uiPriority w:val="31"/>
    <w:qFormat/>
    <w:pPr>
      <w:pBdr/>
      <w:spacing/>
      <w:ind/>
    </w:pPr>
    <w:rPr>
      <w:smallCaps/>
      <w:color w:val="5a5a5a" w:themeColor="text1" w:themeTint="A5"/>
    </w:rPr>
  </w:style>
  <w:style w:type="character" w:styleId="1243" w:customStyle="1">
    <w:name w:val="Header Char"/>
    <w:basedOn w:val="1081"/>
    <w:uiPriority w:val="99"/>
    <w:pPr>
      <w:pBdr/>
      <w:spacing/>
      <w:ind/>
    </w:pPr>
  </w:style>
  <w:style w:type="character" w:styleId="1244" w:customStyle="1">
    <w:name w:val="Footer Char"/>
    <w:basedOn w:val="1081"/>
    <w:uiPriority w:val="99"/>
    <w:pPr>
      <w:pBdr/>
      <w:spacing/>
      <w:ind/>
    </w:pPr>
  </w:style>
  <w:style w:type="paragraph" w:styleId="1245">
    <w:name w:val="Caption"/>
    <w:basedOn w:val="1071"/>
    <w:next w:val="1071"/>
    <w:uiPriority w:val="35"/>
    <w:unhideWhenUsed/>
    <w:qFormat/>
    <w:pPr>
      <w:pBdr/>
      <w:spacing w:after="200" w:line="240" w:lineRule="auto"/>
      <w:ind/>
    </w:pPr>
    <w:rPr>
      <w:i/>
      <w:iCs/>
      <w:color w:val="1f497d" w:themeColor="text2"/>
      <w:sz w:val="18"/>
      <w:szCs w:val="18"/>
    </w:rPr>
  </w:style>
  <w:style w:type="character" w:styleId="1246" w:customStyle="1">
    <w:name w:val="Footnote Text Char"/>
    <w:basedOn w:val="1081"/>
    <w:uiPriority w:val="99"/>
    <w:semiHidden/>
    <w:pPr>
      <w:pBdr/>
      <w:spacing/>
      <w:ind/>
    </w:pPr>
    <w:rPr>
      <w:sz w:val="20"/>
      <w:szCs w:val="20"/>
    </w:rPr>
  </w:style>
  <w:style w:type="paragraph" w:styleId="1247">
    <w:name w:val="endnote text"/>
    <w:basedOn w:val="1071"/>
    <w:link w:val="1248"/>
    <w:uiPriority w:val="99"/>
    <w:semiHidden/>
    <w:unhideWhenUsed/>
    <w:pPr>
      <w:pBdr/>
      <w:spacing w:line="240" w:lineRule="auto"/>
      <w:ind/>
    </w:pPr>
  </w:style>
  <w:style w:type="character" w:styleId="1248" w:customStyle="1">
    <w:name w:val="Note de fin Car"/>
    <w:basedOn w:val="1081"/>
    <w:link w:val="1247"/>
    <w:uiPriority w:val="99"/>
    <w:semiHidden/>
    <w:pPr>
      <w:pBdr/>
      <w:spacing/>
      <w:ind/>
    </w:pPr>
    <w:rPr>
      <w:sz w:val="20"/>
      <w:szCs w:val="20"/>
    </w:rPr>
  </w:style>
  <w:style w:type="character" w:styleId="1249">
    <w:name w:val="endnote reference"/>
    <w:basedOn w:val="1081"/>
    <w:uiPriority w:val="99"/>
    <w:semiHidden/>
    <w:unhideWhenUsed/>
    <w:pPr>
      <w:pBdr/>
      <w:spacing/>
      <w:ind/>
    </w:pPr>
    <w:rPr>
      <w:vertAlign w:val="superscript"/>
    </w:rPr>
  </w:style>
  <w:style w:type="paragraph" w:styleId="1250">
    <w:name w:val="toc 4"/>
    <w:basedOn w:val="1071"/>
    <w:next w:val="1071"/>
    <w:uiPriority w:val="39"/>
    <w:unhideWhenUsed/>
    <w:pPr>
      <w:pBdr/>
      <w:spacing w:after="100"/>
      <w:ind w:left="660"/>
    </w:pPr>
  </w:style>
  <w:style w:type="paragraph" w:styleId="1251">
    <w:name w:val="toc 5"/>
    <w:basedOn w:val="1071"/>
    <w:next w:val="1071"/>
    <w:uiPriority w:val="39"/>
    <w:unhideWhenUsed/>
    <w:pPr>
      <w:pBdr/>
      <w:spacing w:after="100"/>
      <w:ind w:left="880"/>
    </w:pPr>
  </w:style>
  <w:style w:type="paragraph" w:styleId="1252">
    <w:name w:val="toc 6"/>
    <w:basedOn w:val="1071"/>
    <w:next w:val="1071"/>
    <w:uiPriority w:val="39"/>
    <w:unhideWhenUsed/>
    <w:pPr>
      <w:pBdr/>
      <w:spacing w:after="100"/>
      <w:ind w:left="1100"/>
    </w:pPr>
  </w:style>
  <w:style w:type="paragraph" w:styleId="1253">
    <w:name w:val="toc 7"/>
    <w:basedOn w:val="1071"/>
    <w:next w:val="1071"/>
    <w:uiPriority w:val="39"/>
    <w:unhideWhenUsed/>
    <w:pPr>
      <w:pBdr/>
      <w:spacing w:after="100"/>
      <w:ind w:left="1320"/>
    </w:pPr>
  </w:style>
  <w:style w:type="paragraph" w:styleId="1254">
    <w:name w:val="toc 8"/>
    <w:basedOn w:val="1071"/>
    <w:next w:val="1071"/>
    <w:uiPriority w:val="39"/>
    <w:unhideWhenUsed/>
    <w:pPr>
      <w:pBdr/>
      <w:spacing w:after="100"/>
      <w:ind w:left="1540"/>
    </w:pPr>
  </w:style>
  <w:style w:type="paragraph" w:styleId="1255">
    <w:name w:val="toc 9"/>
    <w:basedOn w:val="1071"/>
    <w:next w:val="1071"/>
    <w:uiPriority w:val="39"/>
    <w:unhideWhenUsed/>
    <w:pPr>
      <w:pBdr/>
      <w:spacing w:after="100"/>
      <w:ind w:left="1760"/>
    </w:pPr>
  </w:style>
  <w:style w:type="character" w:styleId="1256">
    <w:name w:val="Placeholder Text"/>
    <w:basedOn w:val="1081"/>
    <w:uiPriority w:val="99"/>
    <w:semiHidden/>
    <w:pPr>
      <w:pBdr/>
      <w:spacing/>
      <w:ind/>
    </w:pPr>
    <w:rPr>
      <w:color w:val="666666"/>
    </w:rPr>
  </w:style>
  <w:style w:type="paragraph" w:styleId="1257">
    <w:name w:val="table of figures"/>
    <w:basedOn w:val="1071"/>
    <w:next w:val="1071"/>
    <w:uiPriority w:val="99"/>
    <w:unhideWhenUsed/>
    <w:pPr>
      <w:pBdr/>
      <w:spacing/>
      <w:ind/>
    </w:pPr>
  </w:style>
  <w:style w:type="paragraph" w:styleId="1258">
    <w:name w:val="Header"/>
    <w:basedOn w:val="1071"/>
    <w:link w:val="1313"/>
    <w:pPr>
      <w:pBdr/>
      <w:tabs>
        <w:tab w:val="center" w:leader="none" w:pos="4536"/>
        <w:tab w:val="right" w:leader="none" w:pos="9072"/>
      </w:tabs>
      <w:spacing/>
      <w:ind/>
    </w:pPr>
  </w:style>
  <w:style w:type="paragraph" w:styleId="1259">
    <w:name w:val="Footer"/>
    <w:basedOn w:val="1071"/>
    <w:link w:val="1298"/>
    <w:uiPriority w:val="99"/>
    <w:pPr>
      <w:pBdr/>
      <w:tabs>
        <w:tab w:val="center" w:leader="none" w:pos="4536"/>
        <w:tab w:val="right" w:leader="none" w:pos="9072"/>
      </w:tabs>
      <w:spacing/>
      <w:ind/>
    </w:pPr>
  </w:style>
  <w:style w:type="character" w:styleId="1260">
    <w:name w:val="Hyperlink"/>
    <w:basedOn w:val="1081"/>
    <w:uiPriority w:val="99"/>
    <w:pPr>
      <w:pBdr/>
      <w:spacing/>
      <w:ind/>
    </w:pPr>
    <w:rPr>
      <w:color w:val="0000ff"/>
      <w:u w:val="single"/>
    </w:rPr>
  </w:style>
  <w:style w:type="paragraph" w:styleId="1261" w:customStyle="1">
    <w:name w:val="texte puce2"/>
    <w:basedOn w:val="1071"/>
    <w:pPr>
      <w:numPr>
        <w:numId w:val="1"/>
      </w:numPr>
      <w:pBdr/>
      <w:spacing/>
      <w:ind/>
    </w:pPr>
  </w:style>
  <w:style w:type="paragraph" w:styleId="1262" w:customStyle="1">
    <w:name w:val="Texte de bulles1"/>
    <w:basedOn w:val="1071"/>
    <w:semiHidden/>
    <w:pPr>
      <w:pBdr/>
      <w:spacing/>
      <w:ind/>
    </w:pPr>
    <w:rPr>
      <w:rFonts w:ascii="Tahoma" w:hAnsi="Tahoma" w:cs="Tahoma"/>
      <w:sz w:val="16"/>
      <w:szCs w:val="16"/>
    </w:rPr>
  </w:style>
  <w:style w:type="paragraph" w:styleId="1263" w:customStyle="1">
    <w:name w:val="a"/>
    <w:basedOn w:val="1071"/>
    <w:pPr>
      <w:pBdr/>
      <w:spacing w:line="240" w:lineRule="auto"/>
      <w:ind/>
      <w:jc w:val="both"/>
    </w:pPr>
    <w:rPr>
      <w:rFonts w:eastAsia="Times New Roman"/>
      <w:sz w:val="22"/>
    </w:rPr>
  </w:style>
  <w:style w:type="paragraph" w:styleId="1264" w:customStyle="1">
    <w:name w:val="u"/>
    <w:basedOn w:val="1071"/>
    <w:pPr>
      <w:pBdr/>
      <w:spacing w:line="240" w:lineRule="auto"/>
      <w:ind w:left="562"/>
      <w:jc w:val="both"/>
    </w:pPr>
    <w:rPr>
      <w:rFonts w:eastAsia="Times New Roman"/>
      <w:sz w:val="22"/>
    </w:rPr>
  </w:style>
  <w:style w:type="paragraph" w:styleId="1265" w:customStyle="1">
    <w:name w:val="v"/>
    <w:basedOn w:val="1264"/>
    <w:pPr>
      <w:pBdr/>
      <w:spacing/>
      <w:ind w:hanging="562"/>
    </w:pPr>
  </w:style>
  <w:style w:type="paragraph" w:styleId="1266" w:customStyle="1">
    <w:name w:val="TITF1"/>
    <w:basedOn w:val="1071"/>
    <w:pPr>
      <w:widowControl w:val="false"/>
      <w:numPr>
        <w:ilvl w:val="12"/>
      </w:numPr>
      <w:pBdr/>
      <w:spacing w:after="540" w:line="240" w:lineRule="auto"/>
      <w:ind/>
      <w:jc w:val="both"/>
    </w:pPr>
    <w:rPr>
      <w:rFonts w:eastAsia="Times New Roman" w:cs="Arial"/>
      <w:b/>
      <w:caps/>
    </w:rPr>
  </w:style>
  <w:style w:type="paragraph" w:styleId="1267" w:customStyle="1">
    <w:name w:val="w"/>
    <w:basedOn w:val="1071"/>
    <w:pPr>
      <w:numPr>
        <w:numId w:val="2"/>
      </w:numPr>
      <w:pBdr/>
      <w:spacing w:line="240" w:lineRule="auto"/>
      <w:ind/>
      <w:jc w:val="both"/>
    </w:pPr>
    <w:rPr>
      <w:rFonts w:eastAsia="Times New Roman"/>
      <w:sz w:val="22"/>
      <w:szCs w:val="24"/>
    </w:rPr>
  </w:style>
  <w:style w:type="paragraph" w:styleId="1268" w:customStyle="1">
    <w:name w:val="TITF2"/>
    <w:basedOn w:val="1071"/>
    <w:pPr>
      <w:keepNext w:val="true"/>
      <w:pBdr/>
      <w:spacing w:after="270" w:line="240" w:lineRule="auto"/>
      <w:ind w:hanging="562" w:left="562"/>
    </w:pPr>
    <w:rPr>
      <w:rFonts w:eastAsia="Times New Roman"/>
      <w:b/>
      <w:sz w:val="22"/>
    </w:rPr>
  </w:style>
  <w:style w:type="character" w:styleId="1269">
    <w:name w:val="page number"/>
    <w:basedOn w:val="1081"/>
    <w:semiHidden/>
    <w:pPr>
      <w:pBdr/>
      <w:spacing/>
      <w:ind/>
    </w:pPr>
  </w:style>
  <w:style w:type="paragraph" w:styleId="1270" w:customStyle="1">
    <w:name w:val="b"/>
    <w:basedOn w:val="1071"/>
    <w:pPr>
      <w:numPr>
        <w:numId w:val="3"/>
      </w:numPr>
      <w:pBdr/>
      <w:spacing w:line="240" w:lineRule="auto"/>
      <w:ind/>
      <w:jc w:val="both"/>
    </w:pPr>
    <w:rPr>
      <w:rFonts w:eastAsia="Times New Roman"/>
      <w:sz w:val="22"/>
      <w:szCs w:val="24"/>
    </w:rPr>
  </w:style>
  <w:style w:type="paragraph" w:styleId="1271" w:customStyle="1">
    <w:name w:val="e"/>
    <w:basedOn w:val="1270"/>
    <w:pPr>
      <w:pBdr/>
      <w:spacing/>
      <w:ind/>
    </w:pPr>
    <w:rPr>
      <w:lang w:val="en-GB"/>
    </w:rPr>
  </w:style>
  <w:style w:type="paragraph" w:styleId="1272" w:customStyle="1">
    <w:name w:val="q"/>
    <w:basedOn w:val="1071"/>
    <w:pPr>
      <w:numPr>
        <w:numId w:val="4"/>
      </w:numPr>
      <w:pBdr/>
      <w:spacing w:line="240" w:lineRule="auto"/>
      <w:ind/>
      <w:jc w:val="both"/>
    </w:pPr>
    <w:rPr>
      <w:rFonts w:eastAsia="Times New Roman"/>
      <w:sz w:val="22"/>
      <w:szCs w:val="24"/>
    </w:rPr>
  </w:style>
  <w:style w:type="paragraph" w:styleId="1273">
    <w:name w:val="Body Text"/>
    <w:basedOn w:val="1071"/>
    <w:semiHidden/>
    <w:pPr>
      <w:widowControl w:val="false"/>
      <w:pBdr/>
      <w:spacing w:line="240" w:lineRule="auto"/>
      <w:ind/>
      <w:jc w:val="center"/>
    </w:pPr>
    <w:rPr>
      <w:rFonts w:eastAsia="Times New Roman" w:cs="Arial"/>
      <w:b/>
      <w:caps/>
      <w:sz w:val="24"/>
      <w:szCs w:val="24"/>
    </w:rPr>
  </w:style>
  <w:style w:type="paragraph" w:styleId="1274" w:customStyle="1">
    <w:name w:val="TITF3"/>
    <w:basedOn w:val="1071"/>
    <w:pPr>
      <w:keepNext w:val="true"/>
      <w:pBdr/>
      <w:spacing w:after="270" w:line="240" w:lineRule="auto"/>
      <w:ind w:hanging="562" w:left="562"/>
    </w:pPr>
    <w:rPr>
      <w:rFonts w:eastAsia="Times New Roman"/>
      <w:b/>
      <w:sz w:val="22"/>
    </w:rPr>
  </w:style>
  <w:style w:type="character" w:styleId="1275" w:customStyle="1">
    <w:name w:val="Retrait corps de texte Car"/>
    <w:basedOn w:val="1081"/>
    <w:pPr>
      <w:pBdr/>
      <w:spacing/>
      <w:ind/>
    </w:pPr>
    <w:rPr>
      <w:rFonts w:ascii="Garamond" w:hAnsi="Garamond"/>
      <w:sz w:val="22"/>
      <w:lang w:val="en-GB" w:eastAsia="fr-FR" w:bidi="ar-SA"/>
    </w:rPr>
  </w:style>
  <w:style w:type="paragraph" w:styleId="1276">
    <w:name w:val="Title"/>
    <w:basedOn w:val="1071"/>
    <w:link w:val="1231"/>
    <w:qFormat/>
    <w:pPr>
      <w:pBdr>
        <w:top w:val="single" w:color="000000" w:sz="6" w:space="1"/>
        <w:left w:val="single" w:color="000000" w:sz="6" w:space="1"/>
        <w:bottom w:val="single" w:color="000000" w:sz="6" w:space="1"/>
        <w:right w:val="single" w:color="000000" w:sz="6" w:space="1"/>
      </w:pBdr>
      <w:spacing w:line="240" w:lineRule="auto"/>
      <w:ind/>
      <w:jc w:val="center"/>
    </w:pPr>
    <w:rPr>
      <w:rFonts w:ascii="Garamond" w:hAnsi="Garamond" w:eastAsia="Times New Roman"/>
      <w:b/>
      <w:sz w:val="28"/>
    </w:rPr>
  </w:style>
  <w:style w:type="paragraph" w:styleId="1277" w:customStyle="1">
    <w:name w:val="Default"/>
    <w:pPr>
      <w:pBdr/>
      <w:spacing/>
      <w:ind/>
    </w:pPr>
    <w:rPr>
      <w:rFonts w:ascii="Arial" w:hAnsi="Arial" w:eastAsia="Times New Roman" w:cs="Arial"/>
      <w:color w:val="000000"/>
      <w:sz w:val="24"/>
      <w:szCs w:val="24"/>
    </w:rPr>
  </w:style>
  <w:style w:type="character" w:styleId="1278">
    <w:name w:val="HTML Cite"/>
    <w:basedOn w:val="1081"/>
    <w:semiHidden/>
    <w:pPr>
      <w:pBdr/>
      <w:spacing/>
      <w:ind/>
    </w:pPr>
    <w:rPr>
      <w:i w:val="0"/>
      <w:iCs w:val="0"/>
      <w:color w:val="008000"/>
    </w:rPr>
  </w:style>
  <w:style w:type="paragraph" w:styleId="1279">
    <w:name w:val="Normal (Web)"/>
    <w:basedOn w:val="1071"/>
    <w:uiPriority w:val="99"/>
    <w:semiHidden/>
    <w:pPr>
      <w:pBdr/>
      <w:spacing w:after="120" w:before="120"/>
      <w:ind/>
    </w:pPr>
    <w:rPr>
      <w:rFonts w:ascii="Arial Unicode MS" w:hAnsi="Arial Unicode MS" w:eastAsia="Arial Unicode MS" w:cs="Arial Unicode MS"/>
      <w:sz w:val="24"/>
      <w:szCs w:val="24"/>
    </w:rPr>
  </w:style>
  <w:style w:type="character" w:styleId="1280">
    <w:name w:val="Emphasis"/>
    <w:basedOn w:val="1081"/>
    <w:uiPriority w:val="20"/>
    <w:qFormat/>
    <w:pPr>
      <w:pBdr/>
      <w:spacing/>
      <w:ind/>
    </w:pPr>
    <w:rPr>
      <w:b/>
      <w:bCs/>
      <w:i w:val="0"/>
      <w:iCs w:val="0"/>
    </w:rPr>
  </w:style>
  <w:style w:type="paragraph" w:styleId="1281">
    <w:name w:val="toc 3"/>
    <w:basedOn w:val="1071"/>
    <w:next w:val="1071"/>
    <w:uiPriority w:val="39"/>
    <w:semiHidden/>
    <w:qFormat/>
    <w:pPr>
      <w:numPr>
        <w:numId w:val="5"/>
      </w:numPr>
      <w:pBdr/>
      <w:spacing/>
      <w:ind/>
    </w:pPr>
  </w:style>
  <w:style w:type="paragraph" w:styleId="1282">
    <w:name w:val="Balloon Text"/>
    <w:basedOn w:val="1071"/>
    <w:link w:val="1283"/>
    <w:uiPriority w:val="99"/>
    <w:semiHidden/>
    <w:unhideWhenUsed/>
    <w:pPr>
      <w:pBdr/>
      <w:spacing w:line="240" w:lineRule="auto"/>
      <w:ind/>
    </w:pPr>
    <w:rPr>
      <w:rFonts w:ascii="Tahoma" w:hAnsi="Tahoma" w:cs="Tahoma"/>
      <w:sz w:val="16"/>
      <w:szCs w:val="16"/>
    </w:rPr>
  </w:style>
  <w:style w:type="character" w:styleId="1283" w:customStyle="1">
    <w:name w:val="Texte de bulles Car"/>
    <w:basedOn w:val="1081"/>
    <w:link w:val="1282"/>
    <w:uiPriority w:val="99"/>
    <w:semiHidden/>
    <w:pPr>
      <w:pBdr/>
      <w:spacing/>
      <w:ind/>
    </w:pPr>
    <w:rPr>
      <w:rFonts w:ascii="Tahoma" w:hAnsi="Tahoma" w:cs="Tahoma"/>
      <w:sz w:val="16"/>
      <w:szCs w:val="16"/>
    </w:rPr>
  </w:style>
  <w:style w:type="table" w:styleId="1284">
    <w:name w:val="Table Grid"/>
    <w:basedOn w:val="1082"/>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85">
    <w:name w:val="TOC Heading"/>
    <w:basedOn w:val="1072"/>
    <w:next w:val="1071"/>
    <w:uiPriority w:val="39"/>
    <w:unhideWhenUsed/>
    <w:qFormat/>
    <w:pPr>
      <w:keepLines w:val="true"/>
      <w:pBdr/>
      <w:spacing w:before="480" w:line="276" w:lineRule="auto"/>
      <w:ind/>
      <w:outlineLvl w:val="9"/>
    </w:pPr>
    <w:rPr>
      <w:rFonts w:asciiTheme="majorHAnsi" w:hAnsiTheme="majorHAnsi" w:eastAsiaTheme="majorEastAsia" w:cstheme="majorBidi"/>
      <w:caps w:val="0"/>
      <w:color w:val="365f91" w:themeColor="accent1" w:themeShade="BF"/>
      <w:sz w:val="28"/>
      <w:szCs w:val="28"/>
    </w:rPr>
  </w:style>
  <w:style w:type="paragraph" w:styleId="1286">
    <w:name w:val="toc 1"/>
    <w:basedOn w:val="1071"/>
    <w:next w:val="1071"/>
    <w:uiPriority w:val="39"/>
    <w:unhideWhenUsed/>
    <w:qFormat/>
    <w:pPr>
      <w:pBdr/>
      <w:spacing w:after="100"/>
      <w:ind/>
    </w:pPr>
  </w:style>
  <w:style w:type="paragraph" w:styleId="1287">
    <w:name w:val="toc 2"/>
    <w:basedOn w:val="1071"/>
    <w:next w:val="1071"/>
    <w:uiPriority w:val="39"/>
    <w:unhideWhenUsed/>
    <w:qFormat/>
    <w:pPr>
      <w:pBdr/>
      <w:tabs>
        <w:tab w:val="right" w:leader="dot" w:pos="9329"/>
      </w:tabs>
      <w:spacing w:line="276" w:lineRule="auto"/>
      <w:ind w:left="221"/>
    </w:pPr>
    <w:rPr>
      <w:rFonts w:asciiTheme="minorHAnsi" w:hAnsiTheme="minorHAnsi" w:eastAsiaTheme="minorEastAsia" w:cstheme="minorBidi"/>
      <w:sz w:val="22"/>
      <w:szCs w:val="22"/>
    </w:rPr>
  </w:style>
  <w:style w:type="paragraph" w:styleId="1288">
    <w:name w:val="footnote text"/>
    <w:basedOn w:val="1071"/>
    <w:link w:val="1289"/>
    <w:unhideWhenUsed/>
    <w:pPr>
      <w:pBdr/>
      <w:spacing w:before="240" w:line="240" w:lineRule="auto"/>
      <w:ind/>
      <w:jc w:val="both"/>
    </w:pPr>
    <w:rPr>
      <w:rFonts w:ascii="Times" w:hAnsi="Times" w:eastAsia="Times New Roman" w:cs="Times"/>
    </w:rPr>
  </w:style>
  <w:style w:type="character" w:styleId="1289" w:customStyle="1">
    <w:name w:val="Note de bas de page Car"/>
    <w:basedOn w:val="1081"/>
    <w:link w:val="1288"/>
    <w:pPr>
      <w:pBdr/>
      <w:spacing/>
      <w:ind/>
    </w:pPr>
    <w:rPr>
      <w:rFonts w:eastAsia="Times New Roman" w:cs="Times"/>
    </w:rPr>
  </w:style>
  <w:style w:type="character" w:styleId="1290">
    <w:name w:val="footnote reference"/>
    <w:unhideWhenUsed/>
    <w:pPr>
      <w:pBdr/>
      <w:spacing/>
      <w:ind/>
    </w:pPr>
    <w:rPr>
      <w:rFonts w:hint="default" w:ascii="Times New Roman" w:hAnsi="Times New Roman" w:cs="Times New Roman"/>
      <w:vertAlign w:val="superscript"/>
    </w:rPr>
  </w:style>
  <w:style w:type="paragraph" w:styleId="1291">
    <w:name w:val="List Paragraph"/>
    <w:basedOn w:val="1071"/>
    <w:uiPriority w:val="34"/>
    <w:qFormat/>
    <w:pPr>
      <w:pBdr/>
      <w:spacing/>
      <w:ind w:left="720"/>
      <w:contextualSpacing w:val="true"/>
    </w:pPr>
  </w:style>
  <w:style w:type="character" w:styleId="1292">
    <w:name w:val="annotation reference"/>
    <w:basedOn w:val="1081"/>
    <w:unhideWhenUsed/>
    <w:pPr>
      <w:pBdr/>
      <w:spacing/>
      <w:ind/>
    </w:pPr>
    <w:rPr>
      <w:sz w:val="16"/>
      <w:szCs w:val="16"/>
    </w:rPr>
  </w:style>
  <w:style w:type="paragraph" w:styleId="1293">
    <w:name w:val="annotation text"/>
    <w:basedOn w:val="1071"/>
    <w:link w:val="1294"/>
    <w:uiPriority w:val="99"/>
    <w:unhideWhenUsed/>
    <w:pPr>
      <w:pBdr/>
      <w:spacing w:line="240" w:lineRule="auto"/>
      <w:ind/>
    </w:pPr>
  </w:style>
  <w:style w:type="character" w:styleId="1294" w:customStyle="1">
    <w:name w:val="Commentaire Car"/>
    <w:basedOn w:val="1081"/>
    <w:link w:val="1293"/>
    <w:uiPriority w:val="99"/>
    <w:pPr>
      <w:pBdr/>
      <w:spacing/>
      <w:ind/>
    </w:pPr>
    <w:rPr>
      <w:rFonts w:ascii="Arial" w:hAnsi="Arial"/>
    </w:rPr>
  </w:style>
  <w:style w:type="paragraph" w:styleId="1295">
    <w:name w:val="annotation subject"/>
    <w:basedOn w:val="1293"/>
    <w:next w:val="1293"/>
    <w:link w:val="1296"/>
    <w:uiPriority w:val="99"/>
    <w:semiHidden/>
    <w:unhideWhenUsed/>
    <w:pPr>
      <w:pBdr/>
      <w:spacing/>
      <w:ind/>
    </w:pPr>
    <w:rPr>
      <w:b/>
      <w:bCs/>
    </w:rPr>
  </w:style>
  <w:style w:type="character" w:styleId="1296" w:customStyle="1">
    <w:name w:val="Objet du commentaire Car"/>
    <w:basedOn w:val="1294"/>
    <w:link w:val="1295"/>
    <w:uiPriority w:val="99"/>
    <w:semiHidden/>
    <w:pPr>
      <w:pBdr/>
      <w:spacing/>
      <w:ind/>
    </w:pPr>
    <w:rPr>
      <w:rFonts w:ascii="Arial" w:hAnsi="Arial"/>
      <w:b/>
      <w:bCs/>
    </w:rPr>
  </w:style>
  <w:style w:type="paragraph" w:styleId="1297" w:customStyle="1">
    <w:name w:val="Normal A"/>
    <w:basedOn w:val="1071"/>
    <w:uiPriority w:val="99"/>
    <w:pPr>
      <w:pBdr/>
      <w:spacing w:before="240" w:line="240" w:lineRule="auto"/>
      <w:ind/>
      <w:jc w:val="both"/>
    </w:pPr>
    <w:rPr>
      <w:rFonts w:ascii="Times New Roman" w:hAnsi="Times New Roman" w:eastAsia="Times New Roman"/>
      <w:sz w:val="22"/>
      <w:szCs w:val="22"/>
    </w:rPr>
  </w:style>
  <w:style w:type="character" w:styleId="1298" w:customStyle="1">
    <w:name w:val="Pied de page Car"/>
    <w:basedOn w:val="1081"/>
    <w:link w:val="1259"/>
    <w:uiPriority w:val="99"/>
    <w:pPr>
      <w:pBdr/>
      <w:spacing/>
      <w:ind/>
    </w:pPr>
    <w:rPr>
      <w:rFonts w:ascii="Arial" w:hAnsi="Arial"/>
    </w:rPr>
  </w:style>
  <w:style w:type="paragraph" w:styleId="1299">
    <w:name w:val="Body Text 2"/>
    <w:basedOn w:val="1071"/>
    <w:link w:val="1300"/>
    <w:uiPriority w:val="99"/>
    <w:semiHidden/>
    <w:unhideWhenUsed/>
    <w:pPr>
      <w:pBdr/>
      <w:spacing w:after="120" w:line="480" w:lineRule="auto"/>
      <w:ind/>
    </w:pPr>
  </w:style>
  <w:style w:type="character" w:styleId="1300" w:customStyle="1">
    <w:name w:val="Corps de texte 2 Car"/>
    <w:basedOn w:val="1081"/>
    <w:link w:val="1299"/>
    <w:uiPriority w:val="99"/>
    <w:semiHidden/>
    <w:pPr>
      <w:pBdr/>
      <w:spacing/>
      <w:ind/>
    </w:pPr>
    <w:rPr>
      <w:rFonts w:ascii="Arial" w:hAnsi="Arial"/>
    </w:rPr>
  </w:style>
  <w:style w:type="character" w:styleId="1301" w:customStyle="1">
    <w:name w:val="Titre 2 Car"/>
    <w:basedOn w:val="1081"/>
    <w:link w:val="1073"/>
    <w:pPr>
      <w:pBdr/>
      <w:spacing/>
      <w:ind/>
    </w:pPr>
    <w:rPr>
      <w:rFonts w:ascii="Arial" w:hAnsi="Arial" w:cs="Arial"/>
      <w:b/>
      <w:bCs/>
      <w:sz w:val="18"/>
    </w:rPr>
  </w:style>
  <w:style w:type="character" w:styleId="1302">
    <w:name w:val="Book Title"/>
    <w:basedOn w:val="1081"/>
    <w:uiPriority w:val="33"/>
    <w:qFormat/>
    <w:pPr>
      <w:pBdr/>
      <w:spacing/>
      <w:ind/>
    </w:pPr>
    <w:rPr>
      <w:b/>
      <w:bCs/>
      <w:smallCaps/>
      <w:spacing w:val="5"/>
    </w:rPr>
  </w:style>
  <w:style w:type="character" w:styleId="1303" w:customStyle="1">
    <w:name w:val="Caractères de note de bas de page"/>
    <w:basedOn w:val="1081"/>
    <w:pPr>
      <w:pBdr/>
      <w:spacing/>
      <w:ind/>
    </w:pPr>
    <w:rPr>
      <w:rFonts w:hint="default" w:ascii="Times New Roman" w:hAnsi="Times New Roman" w:cs="Times New Roman"/>
      <w:vertAlign w:val="superscript"/>
    </w:rPr>
  </w:style>
  <w:style w:type="paragraph" w:styleId="1304">
    <w:name w:val="Revision"/>
    <w:hidden/>
    <w:uiPriority w:val="99"/>
    <w:semiHidden/>
    <w:pPr>
      <w:pBdr/>
      <w:spacing/>
      <w:ind/>
    </w:pPr>
    <w:rPr>
      <w:rFonts w:ascii="Arial" w:hAnsi="Arial"/>
    </w:rPr>
  </w:style>
  <w:style w:type="paragraph" w:styleId="1305">
    <w:name w:val="Body Text 3"/>
    <w:basedOn w:val="1071"/>
    <w:link w:val="1306"/>
    <w:uiPriority w:val="99"/>
    <w:unhideWhenUsed/>
    <w:pPr>
      <w:pBdr/>
      <w:spacing w:after="120"/>
      <w:ind/>
    </w:pPr>
    <w:rPr>
      <w:sz w:val="16"/>
      <w:szCs w:val="16"/>
    </w:rPr>
  </w:style>
  <w:style w:type="character" w:styleId="1306" w:customStyle="1">
    <w:name w:val="Corps de texte 3 Car"/>
    <w:basedOn w:val="1081"/>
    <w:link w:val="1305"/>
    <w:uiPriority w:val="99"/>
    <w:pPr>
      <w:pBdr/>
      <w:spacing/>
      <w:ind/>
    </w:pPr>
    <w:rPr>
      <w:rFonts w:ascii="Arial" w:hAnsi="Arial"/>
      <w:sz w:val="16"/>
      <w:szCs w:val="16"/>
    </w:rPr>
  </w:style>
  <w:style w:type="paragraph" w:styleId="1307" w:customStyle="1">
    <w:name w:val="RedTxt"/>
    <w:basedOn w:val="1071"/>
    <w:pPr>
      <w:keepLines w:val="true"/>
      <w:widowControl w:val="false"/>
      <w:pBdr/>
      <w:spacing w:line="240" w:lineRule="auto"/>
      <w:ind/>
    </w:pPr>
    <w:rPr>
      <w:rFonts w:eastAsia="Times New Roman" w:cs="Arial"/>
      <w:sz w:val="18"/>
      <w:szCs w:val="18"/>
    </w:rPr>
  </w:style>
  <w:style w:type="paragraph" w:styleId="1308" w:customStyle="1">
    <w:name w:val="Normal1"/>
    <w:basedOn w:val="1071"/>
    <w:link w:val="1309"/>
    <w:qFormat/>
    <w:pPr>
      <w:pBdr/>
      <w:spacing w:line="360" w:lineRule="auto"/>
      <w:ind/>
      <w:jc w:val="both"/>
    </w:pPr>
    <w:rPr>
      <w:rFonts w:ascii="Times New Roman" w:hAnsi="Times New Roman" w:eastAsia="Times New Roman"/>
      <w:sz w:val="22"/>
      <w:szCs w:val="22"/>
    </w:rPr>
  </w:style>
  <w:style w:type="character" w:styleId="1309" w:customStyle="1">
    <w:name w:val="normal Car"/>
    <w:basedOn w:val="1081"/>
    <w:link w:val="1308"/>
    <w:pPr>
      <w:pBdr/>
      <w:spacing/>
      <w:ind/>
    </w:pPr>
    <w:rPr>
      <w:rFonts w:ascii="Times New Roman" w:hAnsi="Times New Roman" w:eastAsia="Times New Roman"/>
      <w:sz w:val="22"/>
      <w:szCs w:val="22"/>
    </w:rPr>
  </w:style>
  <w:style w:type="table" w:styleId="1310">
    <w:name w:val="Medium Shading 1 Accent 1"/>
    <w:basedOn w:val="1082"/>
    <w:uiPriority w:val="63"/>
    <w:pPr>
      <w:pBdr/>
      <w:spacing/>
      <w:ind/>
    </w:pPr>
    <w:rPr>
      <w:rFonts w:asciiTheme="minorHAnsi" w:hAnsiTheme="minorHAnsi" w:eastAsiaTheme="minorHAnsi" w:cstheme="minorBidi"/>
      <w:sz w:val="22"/>
      <w:szCs w:val="22"/>
      <w:lang w:eastAsia="en-US"/>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11" w:customStyle="1">
    <w:name w:val="Normal2"/>
    <w:basedOn w:val="1071"/>
    <w:pPr>
      <w:keepLines w:val="true"/>
      <w:pBdr/>
      <w:tabs>
        <w:tab w:val="left" w:leader="none" w:pos="567"/>
        <w:tab w:val="left" w:leader="none" w:pos="851"/>
        <w:tab w:val="left" w:leader="none" w:pos="1134"/>
      </w:tabs>
      <w:spacing w:line="240" w:lineRule="auto"/>
      <w:ind w:firstLine="284" w:left="284"/>
      <w:jc w:val="both"/>
    </w:pPr>
    <w:rPr>
      <w:rFonts w:ascii="Times New Roman" w:hAnsi="Times New Roman" w:eastAsia="Times New Roman"/>
      <w:sz w:val="22"/>
    </w:rPr>
  </w:style>
  <w:style w:type="paragraph" w:styleId="1312" w:customStyle="1">
    <w:name w:val="Normal DGA"/>
    <w:basedOn w:val="1071"/>
    <w:pPr>
      <w:pBdr/>
      <w:spacing w:before="120" w:line="240" w:lineRule="auto"/>
      <w:ind/>
      <w:jc w:val="both"/>
    </w:pPr>
    <w:rPr>
      <w:rFonts w:ascii="Times New Roman" w:hAnsi="Times New Roman" w:eastAsia="Times New Roman"/>
      <w:sz w:val="22"/>
      <w:szCs w:val="22"/>
    </w:rPr>
  </w:style>
  <w:style w:type="character" w:styleId="1313" w:customStyle="1">
    <w:name w:val="En-tête Car"/>
    <w:link w:val="1258"/>
    <w:pPr>
      <w:pBdr/>
      <w:spacing/>
      <w:ind/>
    </w:pPr>
    <w:rPr>
      <w:rFonts w:ascii="Arial" w:hAnsi="Arial"/>
    </w:rPr>
  </w:style>
  <w:style w:type="paragraph" w:styleId="1314" w:customStyle="1">
    <w:name w:val="Text 1"/>
    <w:basedOn w:val="1071"/>
    <w:pPr>
      <w:pBdr/>
      <w:spacing w:after="120" w:before="120" w:line="240" w:lineRule="auto"/>
      <w:ind w:left="850"/>
      <w:jc w:val="both"/>
    </w:pPr>
    <w:rPr>
      <w:rFonts w:ascii="Times New Roman" w:hAnsi="Times New Roman" w:eastAsia="Times New Roman"/>
      <w:sz w:val="24"/>
      <w:szCs w:val="24"/>
      <w:lang w:val="en-GB" w:eastAsia="en-GB"/>
    </w:rPr>
  </w:style>
  <w:style w:type="paragraph" w:styleId="1315" w:customStyle="1">
    <w:name w:val="Standard"/>
    <w:pPr>
      <w:widowControl w:val="false"/>
      <w:pBdr/>
      <w:spacing w:before="57"/>
      <w:ind/>
      <w:jc w:val="both"/>
    </w:pPr>
    <w:rPr>
      <w:rFonts w:ascii="Calibri" w:hAnsi="Calibri" w:eastAsia="MS Mincho" w:cs="Calibri"/>
      <w:szCs w:val="24"/>
      <w:lang w:eastAsia="ja-JP" w:bidi="fa-IR"/>
    </w:rPr>
  </w:style>
  <w:style w:type="paragraph" w:styleId="1316" w:customStyle="1">
    <w:name w:val="isselectedend"/>
    <w:basedOn w:val="1071"/>
    <w:pPr>
      <w:pBdr/>
      <w:spacing w:after="100" w:afterAutospacing="1" w:before="100" w:beforeAutospacing="1" w:line="240" w:lineRule="auto"/>
      <w:ind/>
    </w:pPr>
    <w:rPr>
      <w:rFonts w:ascii="Times New Roman" w:hAnsi="Times New Roman" w:eastAsia="Times New Roman"/>
      <w:sz w:val="24"/>
      <w:szCs w:val="24"/>
    </w:rPr>
  </w:style>
  <w:style w:type="character" w:styleId="1317">
    <w:name w:val="Strong"/>
    <w:basedOn w:val="1081"/>
    <w:uiPriority w:val="22"/>
    <w:qFormat/>
    <w:pPr>
      <w:pBdr/>
      <w:spacing/>
      <w:ind/>
    </w:pPr>
    <w:rPr>
      <w:b/>
      <w:bCs/>
    </w:rPr>
  </w:style>
  <w:style w:type="character" w:styleId="1318">
    <w:name w:val="FollowedHyperlink"/>
    <w:basedOn w:val="1081"/>
    <w:uiPriority w:val="99"/>
    <w:semiHidden/>
    <w:unhideWhenUsed/>
    <w:pPr>
      <w:pBdr/>
      <w:spacing/>
      <w:ind/>
    </w:pPr>
    <w:rPr>
      <w:color w:val="800080" w:themeColor="followed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hyperlink" Target="http://www.marches-publics.gouv.fr" TargetMode="External"/><Relationship Id="rId22" Type="http://schemas.openxmlformats.org/officeDocument/2006/relationships/hyperlink" Target="mailto:le-delegue-a-la-protection-des-donnees-personnelles@finances.gouv.fr" TargetMode="External"/><Relationship Id="rId23" Type="http://schemas.openxmlformats.org/officeDocument/2006/relationships/hyperlink" Target="mailto:informatique.libertes@expertisefrance.fr" TargetMode="External"/><Relationship Id="rId24" Type="http://schemas.openxmlformats.org/officeDocument/2006/relationships/hyperlink" Target="mailto:tj-paris@justice.fr" TargetMode="External"/><Relationship Id="rId25" Type="http://schemas.openxmlformats.org/officeDocument/2006/relationships/hyperlink" Target="mailto:tj-paris@justice.f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59599-08DA-4509-90E6-AED9488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ONLYOFFICE/9.2.1.8</Application>
  <DocSecurity>0</DocSecurity>
  <ScaleCrop>0</ScaleCrop>
  <HeadingPairs>
    <vt:vector size="0" baseType="variant"/>
  </HeadingPairs>
  <TitlesOfParts>
    <vt:vector size="0" baseType="lpstr"/>
  </TitlesOfParts>
  <Company>MINEFI</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all Israel BESSONG</cp:lastModifiedBy>
  <cp:revision>8</cp:revision>
  <dcterms:created xsi:type="dcterms:W3CDTF">2026-10-02T11:04:00Z</dcterms:created>
  <dcterms:modified xsi:type="dcterms:W3CDTF">2026-10-16T15:21:53Z</dcterms:modified>
</cp:coreProperties>
</file>