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BE74D" w14:textId="77777777" w:rsidR="004014A1" w:rsidRDefault="004014A1">
      <w:pPr>
        <w:rPr>
          <w:rFonts w:asciiTheme="minorHAnsi" w:hAnsiTheme="minorHAnsi" w:cstheme="minorHAnsi"/>
          <w:sz w:val="22"/>
          <w:szCs w:val="22"/>
        </w:rPr>
      </w:pPr>
    </w:p>
    <w:tbl>
      <w:tblPr>
        <w:tblStyle w:val="TableGrid"/>
        <w:tblW w:w="0" w:type="auto"/>
        <w:tblInd w:w="1134" w:type="dxa"/>
        <w:tblLook w:val="04A0" w:firstRow="1" w:lastRow="0" w:firstColumn="1" w:lastColumn="0" w:noHBand="0" w:noVBand="1"/>
      </w:tblPr>
      <w:tblGrid>
        <w:gridCol w:w="236"/>
        <w:gridCol w:w="7944"/>
        <w:gridCol w:w="15"/>
      </w:tblGrid>
      <w:tr w:rsidR="004014A1" w14:paraId="7085B23B"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63C55375" w14:textId="77777777" w:rsidR="004014A1" w:rsidRDefault="004014A1">
            <w:pPr>
              <w:rPr>
                <w:rFonts w:asciiTheme="minorHAnsi" w:hAnsiTheme="minorHAnsi" w:cstheme="minorHAnsi"/>
                <w:b/>
                <w:sz w:val="32"/>
                <w:szCs w:val="22"/>
              </w:rPr>
            </w:pPr>
          </w:p>
          <w:p w14:paraId="241F8B38" w14:textId="77777777" w:rsidR="004014A1" w:rsidRDefault="00000000">
            <w:pPr>
              <w:rPr>
                <w:rFonts w:asciiTheme="minorHAnsi" w:hAnsiTheme="minorHAnsi" w:cstheme="minorHAnsi"/>
                <w:b/>
                <w:sz w:val="32"/>
                <w:szCs w:val="22"/>
              </w:rPr>
            </w:pPr>
            <w:r>
              <w:rPr>
                <w:rFonts w:asciiTheme="minorHAnsi" w:hAnsiTheme="minorHAnsi" w:cstheme="minorHAnsi"/>
                <w:b/>
                <w:sz w:val="32"/>
                <w:szCs w:val="22"/>
              </w:rPr>
              <w:t>REGLEMENT DE LA CONSULTATION (RC)</w:t>
            </w:r>
          </w:p>
          <w:p w14:paraId="692CA368" w14:textId="77777777" w:rsidR="004014A1" w:rsidRDefault="004014A1">
            <w:pPr>
              <w:rPr>
                <w:rFonts w:asciiTheme="minorHAnsi" w:hAnsiTheme="minorHAnsi" w:cstheme="minorHAnsi"/>
                <w:b/>
                <w:sz w:val="32"/>
                <w:szCs w:val="22"/>
              </w:rPr>
            </w:pPr>
          </w:p>
        </w:tc>
      </w:tr>
      <w:tr w:rsidR="004014A1" w14:paraId="0B0ADFD8"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54137F63" w14:textId="77777777" w:rsidR="004014A1" w:rsidRDefault="004014A1">
            <w:pPr>
              <w:rPr>
                <w:rFonts w:asciiTheme="minorHAnsi" w:hAnsiTheme="minorHAnsi" w:cstheme="minorHAnsi"/>
                <w:b/>
                <w:sz w:val="22"/>
                <w:szCs w:val="22"/>
              </w:rPr>
            </w:pPr>
          </w:p>
        </w:tc>
      </w:tr>
      <w:tr w:rsidR="004014A1" w14:paraId="110DAD16" w14:textId="77777777">
        <w:tc>
          <w:tcPr>
            <w:tcW w:w="236" w:type="dxa"/>
            <w:tcBorders>
              <w:top w:val="none" w:sz="4" w:space="0" w:color="000000"/>
              <w:left w:val="none" w:sz="4" w:space="0" w:color="000000"/>
              <w:bottom w:val="none" w:sz="4" w:space="0" w:color="000000"/>
              <w:right w:val="single" w:sz="4" w:space="0" w:color="auto"/>
            </w:tcBorders>
          </w:tcPr>
          <w:p w14:paraId="3B3A2401" w14:textId="77777777" w:rsidR="004014A1" w:rsidRDefault="004014A1">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40841F97" w14:textId="77777777" w:rsidR="004014A1" w:rsidRDefault="00000000">
            <w:pPr>
              <w:rPr>
                <w:rFonts w:asciiTheme="minorHAnsi" w:hAnsiTheme="minorHAnsi" w:cstheme="minorHAnsi"/>
                <w:b/>
                <w:caps/>
                <w:smallCaps/>
                <w:sz w:val="22"/>
                <w:szCs w:val="22"/>
              </w:rPr>
            </w:pPr>
            <w:r>
              <w:rPr>
                <w:rFonts w:asciiTheme="minorHAnsi" w:hAnsiTheme="minorHAnsi" w:cstheme="minorHAnsi"/>
                <w:b/>
                <w:smallCaps/>
                <w:sz w:val="22"/>
                <w:szCs w:val="22"/>
              </w:rPr>
              <w:t>O</w:t>
            </w:r>
            <w:r>
              <w:rPr>
                <w:rFonts w:asciiTheme="minorHAnsi" w:hAnsiTheme="minorHAnsi" w:cstheme="minorHAnsi"/>
                <w:b/>
                <w:caps/>
                <w:sz w:val="22"/>
                <w:szCs w:val="22"/>
              </w:rPr>
              <w:t xml:space="preserve">BJET Du projet de </w:t>
            </w:r>
            <w:proofErr w:type="gramStart"/>
            <w:r>
              <w:rPr>
                <w:rFonts w:asciiTheme="minorHAnsi" w:hAnsiTheme="minorHAnsi" w:cstheme="minorHAnsi"/>
                <w:b/>
                <w:caps/>
                <w:sz w:val="22"/>
                <w:szCs w:val="22"/>
              </w:rPr>
              <w:t>contrat:</w:t>
            </w:r>
            <w:proofErr w:type="gramEnd"/>
          </w:p>
          <w:p w14:paraId="27BCCCE8" w14:textId="77777777" w:rsidR="004014A1" w:rsidRDefault="00000000">
            <w:pPr>
              <w:jc w:val="both"/>
              <w:rPr>
                <w:rFonts w:asciiTheme="minorHAnsi" w:hAnsiTheme="minorHAnsi" w:cstheme="minorHAnsi"/>
                <w:b/>
                <w:sz w:val="22"/>
                <w:szCs w:val="22"/>
              </w:rPr>
            </w:pPr>
            <w:r>
              <w:rPr>
                <w:rFonts w:asciiTheme="minorHAnsi" w:hAnsiTheme="minorHAnsi" w:cstheme="minorHAnsi"/>
                <w:b/>
                <w:caps/>
                <w:sz w:val="22"/>
                <w:szCs w:val="22"/>
              </w:rPr>
              <w:t>Audits énergétiques de 4 bâtiments municipaux de la Commune de Kloto 1</w:t>
            </w:r>
          </w:p>
        </w:tc>
      </w:tr>
      <w:tr w:rsidR="004014A1" w14:paraId="4C7958CD" w14:textId="77777777">
        <w:tc>
          <w:tcPr>
            <w:tcW w:w="236" w:type="dxa"/>
            <w:tcBorders>
              <w:top w:val="none" w:sz="4" w:space="0" w:color="000000"/>
              <w:left w:val="none" w:sz="4" w:space="0" w:color="000000"/>
              <w:bottom w:val="none" w:sz="4" w:space="0" w:color="000000"/>
              <w:right w:val="single" w:sz="4" w:space="0" w:color="auto"/>
            </w:tcBorders>
          </w:tcPr>
          <w:p w14:paraId="54B5DF6F" w14:textId="77777777" w:rsidR="004014A1" w:rsidRDefault="004014A1">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6049993D" w14:textId="77777777" w:rsidR="004014A1" w:rsidRDefault="00000000">
            <w:pPr>
              <w:rPr>
                <w:rFonts w:asciiTheme="minorHAnsi" w:hAnsiTheme="minorHAnsi" w:cstheme="minorHAnsi"/>
                <w:b/>
                <w:caps/>
                <w:smallCaps/>
                <w:sz w:val="22"/>
                <w:szCs w:val="22"/>
              </w:rPr>
            </w:pPr>
            <w:r>
              <w:rPr>
                <w:rFonts w:asciiTheme="minorHAnsi" w:hAnsiTheme="minorHAnsi" w:cstheme="minorHAnsi"/>
                <w:b/>
                <w:smallCaps/>
                <w:sz w:val="22"/>
                <w:szCs w:val="22"/>
              </w:rPr>
              <w:t>REPRESENTANT LEGAL DU POUVOIR ADJUDICATEUR :</w:t>
            </w:r>
          </w:p>
          <w:p w14:paraId="028892EE" w14:textId="77777777" w:rsidR="004014A1" w:rsidRDefault="00000000">
            <w:pPr>
              <w:rPr>
                <w:rFonts w:asciiTheme="minorHAnsi" w:hAnsiTheme="minorHAnsi" w:cstheme="minorHAnsi"/>
                <w:sz w:val="22"/>
                <w:szCs w:val="22"/>
              </w:rPr>
            </w:pPr>
            <w:r>
              <w:rPr>
                <w:rFonts w:asciiTheme="minorHAnsi" w:hAnsiTheme="minorHAnsi" w:cstheme="minorHAnsi"/>
                <w:sz w:val="22"/>
                <w:szCs w:val="22"/>
              </w:rPr>
              <w:t>Jérémie PELLET, Directeur général d’EXPERTISE FRANCE</w:t>
            </w:r>
          </w:p>
        </w:tc>
      </w:tr>
      <w:tr w:rsidR="004014A1" w14:paraId="3B63E167"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66508DFC" w14:textId="77777777" w:rsidR="004014A1" w:rsidRDefault="004014A1">
            <w:pPr>
              <w:rPr>
                <w:rFonts w:asciiTheme="minorHAnsi" w:hAnsiTheme="minorHAnsi" w:cstheme="minorHAnsi"/>
                <w:b/>
                <w:sz w:val="22"/>
                <w:szCs w:val="22"/>
              </w:rPr>
            </w:pPr>
          </w:p>
        </w:tc>
      </w:tr>
      <w:tr w:rsidR="004014A1" w14:paraId="5C53ECC4" w14:textId="77777777">
        <w:tc>
          <w:tcPr>
            <w:tcW w:w="236" w:type="dxa"/>
            <w:tcBorders>
              <w:top w:val="none" w:sz="4" w:space="0" w:color="000000"/>
              <w:left w:val="none" w:sz="4" w:space="0" w:color="000000"/>
              <w:bottom w:val="none" w:sz="4" w:space="0" w:color="000000"/>
              <w:right w:val="single" w:sz="4" w:space="0" w:color="auto"/>
            </w:tcBorders>
          </w:tcPr>
          <w:p w14:paraId="01CAF2A1" w14:textId="77777777" w:rsidR="004014A1" w:rsidRDefault="004014A1">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61CAC588" w14:textId="77777777" w:rsidR="004014A1" w:rsidRDefault="00000000">
            <w:pPr>
              <w:rPr>
                <w:rFonts w:asciiTheme="minorHAnsi" w:hAnsiTheme="minorHAnsi" w:cstheme="minorHAnsi"/>
                <w:b/>
                <w:caps/>
                <w:smallCaps/>
                <w:sz w:val="22"/>
                <w:szCs w:val="22"/>
              </w:rPr>
            </w:pPr>
            <w:r>
              <w:rPr>
                <w:rFonts w:asciiTheme="minorHAnsi" w:hAnsiTheme="minorHAnsi" w:cstheme="minorHAnsi"/>
                <w:b/>
                <w:smallCaps/>
                <w:sz w:val="22"/>
                <w:szCs w:val="22"/>
              </w:rPr>
              <w:t>DATE ET HEURE LIMITES DE REMISE DES OFFRES :</w:t>
            </w:r>
          </w:p>
          <w:p w14:paraId="3B08D158" w14:textId="5F48A6F0" w:rsidR="004014A1" w:rsidRDefault="002504D8">
            <w:pPr>
              <w:rPr>
                <w:rFonts w:asciiTheme="minorHAnsi" w:hAnsiTheme="minorHAnsi" w:cstheme="minorHAnsi"/>
                <w:sz w:val="22"/>
                <w:szCs w:val="22"/>
              </w:rPr>
            </w:pPr>
            <w:r>
              <w:rPr>
                <w:rFonts w:asciiTheme="minorHAnsi" w:hAnsiTheme="minorHAnsi" w:cstheme="minorHAnsi"/>
                <w:b/>
                <w:sz w:val="22"/>
                <w:szCs w:val="22"/>
              </w:rPr>
              <w:t>13/10/2026 à 17h</w:t>
            </w:r>
            <w:proofErr w:type="gramStart"/>
            <w:r>
              <w:rPr>
                <w:rFonts w:asciiTheme="minorHAnsi" w:hAnsiTheme="minorHAnsi" w:cstheme="minorHAnsi"/>
                <w:b/>
                <w:sz w:val="22"/>
                <w:szCs w:val="22"/>
              </w:rPr>
              <w:t>00</w:t>
            </w:r>
            <w:r>
              <w:rPr>
                <w:rFonts w:asciiTheme="minorHAnsi" w:hAnsiTheme="minorHAnsi" w:cstheme="minorHAnsi"/>
                <w:b/>
                <w:smallCaps/>
                <w:sz w:val="22"/>
                <w:szCs w:val="22"/>
              </w:rPr>
              <w:t xml:space="preserve">  (</w:t>
            </w:r>
            <w:proofErr w:type="gramEnd"/>
            <w:r>
              <w:rPr>
                <w:rFonts w:asciiTheme="minorHAnsi" w:hAnsiTheme="minorHAnsi" w:cstheme="minorHAnsi"/>
                <w:b/>
                <w:smallCaps/>
                <w:sz w:val="22"/>
                <w:szCs w:val="22"/>
              </w:rPr>
              <w:t>Heure de Paris)</w:t>
            </w:r>
          </w:p>
        </w:tc>
      </w:tr>
    </w:tbl>
    <w:p w14:paraId="1AAF0634" w14:textId="77777777" w:rsidR="004014A1" w:rsidRDefault="004014A1">
      <w:pPr>
        <w:rPr>
          <w:rFonts w:asciiTheme="minorHAnsi" w:hAnsiTheme="minorHAnsi" w:cstheme="minorHAnsi"/>
          <w:sz w:val="22"/>
          <w:szCs w:val="22"/>
        </w:rPr>
      </w:pPr>
    </w:p>
    <w:p w14:paraId="478DBB0D" w14:textId="77777777" w:rsidR="004014A1" w:rsidRDefault="00000000">
      <w:pPr>
        <w:spacing w:line="240" w:lineRule="auto"/>
        <w:rPr>
          <w:rFonts w:asciiTheme="minorHAnsi" w:hAnsiTheme="minorHAnsi" w:cstheme="minorHAnsi"/>
          <w:sz w:val="22"/>
          <w:szCs w:val="22"/>
        </w:rPr>
      </w:pPr>
      <w:r>
        <w:rPr>
          <w:rFonts w:asciiTheme="minorHAnsi" w:hAnsiTheme="minorHAnsi" w:cstheme="minorHAnsi"/>
          <w:sz w:val="22"/>
          <w:szCs w:val="22"/>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234DCA79" w14:textId="77777777" w:rsidR="004014A1" w:rsidRDefault="00000000">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rPr>
            <w:t>SOMMAIRE</w:t>
          </w:r>
        </w:p>
        <w:p w14:paraId="7A5D5B3F" w14:textId="77777777" w:rsidR="004014A1" w:rsidRDefault="004014A1">
          <w:pPr>
            <w:tabs>
              <w:tab w:val="left" w:pos="2265"/>
            </w:tabs>
            <w:rPr>
              <w:rFonts w:asciiTheme="minorHAnsi" w:hAnsiTheme="minorHAnsi" w:cstheme="minorHAnsi"/>
              <w:sz w:val="22"/>
              <w:szCs w:val="22"/>
            </w:rPr>
          </w:pPr>
        </w:p>
        <w:p w14:paraId="6A82712D"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9327006" w:tooltip="#_Toc239327006" w:history="1">
            <w:r>
              <w:rPr>
                <w:rStyle w:val="Hyperlink"/>
                <w:rFonts w:cstheme="minorHAnsi"/>
                <w:b/>
                <w:caps/>
              </w:rPr>
              <w:t>ARTICLE 1 :</w:t>
            </w:r>
            <w:r>
              <w:rPr>
                <w:rFonts w:asciiTheme="minorHAnsi" w:eastAsiaTheme="minorEastAsia" w:hAnsiTheme="minorHAnsi" w:cstheme="minorBidi"/>
                <w:sz w:val="22"/>
                <w:szCs w:val="22"/>
              </w:rPr>
              <w:tab/>
            </w:r>
            <w:r>
              <w:rPr>
                <w:rStyle w:val="Hyperlink"/>
                <w:rFonts w:cstheme="minorHAnsi"/>
                <w:b/>
                <w:caps/>
              </w:rPr>
              <w:t>Objet et étendue de la consultation</w:t>
            </w:r>
            <w:r>
              <w:tab/>
            </w:r>
            <w:r>
              <w:fldChar w:fldCharType="begin"/>
            </w:r>
            <w:r>
              <w:instrText xml:space="preserve"> PAGEREF _Toc239327006 \h </w:instrText>
            </w:r>
            <w:r>
              <w:fldChar w:fldCharType="separate"/>
            </w:r>
            <w:r>
              <w:t>4</w:t>
            </w:r>
            <w:r>
              <w:fldChar w:fldCharType="end"/>
            </w:r>
          </w:hyperlink>
        </w:p>
        <w:p w14:paraId="293CBDC4" w14:textId="77777777" w:rsidR="004014A1" w:rsidRDefault="00000000">
          <w:pPr>
            <w:pStyle w:val="TOC2"/>
          </w:pPr>
          <w:hyperlink w:anchor="_Toc239327007" w:tooltip="#_Toc239327007" w:history="1">
            <w:r>
              <w:rPr>
                <w:rStyle w:val="Hyperlink"/>
                <w:rFonts w:cstheme="minorHAnsi"/>
              </w:rPr>
              <w:t>Objet de la consultation</w:t>
            </w:r>
            <w:r>
              <w:tab/>
            </w:r>
            <w:r>
              <w:fldChar w:fldCharType="begin"/>
            </w:r>
            <w:r>
              <w:instrText xml:space="preserve"> PAGEREF _Toc239327007 \h </w:instrText>
            </w:r>
            <w:r>
              <w:fldChar w:fldCharType="separate"/>
            </w:r>
            <w:r>
              <w:t>4</w:t>
            </w:r>
            <w:r>
              <w:fldChar w:fldCharType="end"/>
            </w:r>
          </w:hyperlink>
        </w:p>
        <w:p w14:paraId="1A48C9B1" w14:textId="77777777" w:rsidR="004014A1" w:rsidRDefault="00000000">
          <w:pPr>
            <w:pStyle w:val="TOC2"/>
          </w:pPr>
          <w:hyperlink w:anchor="_Toc239327008" w:tooltip="#_Toc239327008" w:history="1">
            <w:r>
              <w:rPr>
                <w:rStyle w:val="Hyperlink"/>
                <w:rFonts w:cstheme="minorHAnsi"/>
              </w:rPr>
              <w:t>Etendue de la consultation</w:t>
            </w:r>
            <w:r>
              <w:tab/>
            </w:r>
            <w:r>
              <w:fldChar w:fldCharType="begin"/>
            </w:r>
            <w:r>
              <w:instrText xml:space="preserve"> PAGEREF _Toc239327008 \h </w:instrText>
            </w:r>
            <w:r>
              <w:fldChar w:fldCharType="separate"/>
            </w:r>
            <w:r>
              <w:t>4</w:t>
            </w:r>
            <w:r>
              <w:fldChar w:fldCharType="end"/>
            </w:r>
          </w:hyperlink>
        </w:p>
        <w:p w14:paraId="756E5BB2" w14:textId="77777777" w:rsidR="004014A1" w:rsidRDefault="00000000">
          <w:pPr>
            <w:pStyle w:val="TOC2"/>
          </w:pPr>
          <w:hyperlink w:anchor="_Toc239327009" w:tooltip="#_Toc239327009" w:history="1">
            <w:r>
              <w:rPr>
                <w:rStyle w:val="Hyperlink"/>
                <w:rFonts w:cstheme="minorHAnsi"/>
              </w:rPr>
              <w:t>Calendrier prévisionnel de la consultation</w:t>
            </w:r>
            <w:r>
              <w:tab/>
            </w:r>
            <w:r>
              <w:fldChar w:fldCharType="begin"/>
            </w:r>
            <w:r>
              <w:instrText xml:space="preserve"> PAGEREF _Toc239327009 \h </w:instrText>
            </w:r>
            <w:r>
              <w:fldChar w:fldCharType="separate"/>
            </w:r>
            <w:r>
              <w:t>4</w:t>
            </w:r>
            <w:r>
              <w:fldChar w:fldCharType="end"/>
            </w:r>
          </w:hyperlink>
        </w:p>
        <w:p w14:paraId="25C0B80C" w14:textId="77777777" w:rsidR="004014A1" w:rsidRDefault="00000000">
          <w:pPr>
            <w:pStyle w:val="TOC2"/>
          </w:pPr>
          <w:hyperlink w:anchor="_Toc239327010" w:tooltip="#_Toc239327010" w:history="1">
            <w:r>
              <w:rPr>
                <w:rStyle w:val="Hyperlink"/>
                <w:rFonts w:cstheme="minorHAnsi"/>
              </w:rPr>
              <w:t>Langue de la consultation – unité monétaire</w:t>
            </w:r>
            <w:r>
              <w:tab/>
            </w:r>
            <w:r>
              <w:fldChar w:fldCharType="begin"/>
            </w:r>
            <w:r>
              <w:instrText xml:space="preserve"> PAGEREF _Toc239327010 \h </w:instrText>
            </w:r>
            <w:r>
              <w:fldChar w:fldCharType="separate"/>
            </w:r>
            <w:r>
              <w:t>4</w:t>
            </w:r>
            <w:r>
              <w:fldChar w:fldCharType="end"/>
            </w:r>
          </w:hyperlink>
        </w:p>
        <w:p w14:paraId="6D616BEA" w14:textId="77777777" w:rsidR="004014A1" w:rsidRDefault="00000000">
          <w:pPr>
            <w:pStyle w:val="TOC2"/>
          </w:pPr>
          <w:hyperlink w:anchor="_Toc239327011" w:tooltip="#_Toc239327011" w:history="1">
            <w:r>
              <w:rPr>
                <w:rStyle w:val="Hyperlink"/>
                <w:rFonts w:cstheme="minorHAnsi"/>
              </w:rPr>
              <w:t>Composition du dossier de consultation</w:t>
            </w:r>
            <w:r>
              <w:tab/>
            </w:r>
            <w:r>
              <w:fldChar w:fldCharType="begin"/>
            </w:r>
            <w:r>
              <w:instrText xml:space="preserve"> PAGEREF _Toc239327011 \h </w:instrText>
            </w:r>
            <w:r>
              <w:fldChar w:fldCharType="separate"/>
            </w:r>
            <w:r>
              <w:t>4</w:t>
            </w:r>
            <w:r>
              <w:fldChar w:fldCharType="end"/>
            </w:r>
          </w:hyperlink>
        </w:p>
        <w:p w14:paraId="4D75DBC1" w14:textId="77777777" w:rsidR="004014A1" w:rsidRDefault="00000000">
          <w:pPr>
            <w:pStyle w:val="TOC2"/>
          </w:pPr>
          <w:hyperlink w:anchor="_Toc239327012" w:tooltip="#_Toc239327012" w:history="1">
            <w:r>
              <w:rPr>
                <w:rStyle w:val="Hyperlink"/>
                <w:rFonts w:cstheme="minorHAnsi"/>
              </w:rPr>
              <w:t>Modification du dossier de consultation</w:t>
            </w:r>
            <w:r>
              <w:tab/>
            </w:r>
            <w:r>
              <w:fldChar w:fldCharType="begin"/>
            </w:r>
            <w:r>
              <w:instrText xml:space="preserve"> PAGEREF _Toc239327012 \h </w:instrText>
            </w:r>
            <w:r>
              <w:fldChar w:fldCharType="separate"/>
            </w:r>
            <w:r>
              <w:t>4</w:t>
            </w:r>
            <w:r>
              <w:fldChar w:fldCharType="end"/>
            </w:r>
          </w:hyperlink>
        </w:p>
        <w:p w14:paraId="3D7C5CBF"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13" w:tooltip="#_Toc239327013" w:history="1">
            <w:r>
              <w:rPr>
                <w:rStyle w:val="Hyperlink"/>
                <w:rFonts w:cstheme="minorHAnsi"/>
                <w:b/>
                <w:caps/>
              </w:rPr>
              <w:t>ARTICLE 2 :</w:t>
            </w:r>
            <w:r>
              <w:rPr>
                <w:rFonts w:asciiTheme="minorHAnsi" w:eastAsiaTheme="minorEastAsia" w:hAnsiTheme="minorHAnsi" w:cstheme="minorBidi"/>
                <w:sz w:val="22"/>
                <w:szCs w:val="22"/>
              </w:rPr>
              <w:tab/>
            </w:r>
            <w:r>
              <w:rPr>
                <w:rStyle w:val="Hyperlink"/>
                <w:rFonts w:cstheme="minorHAnsi"/>
                <w:b/>
                <w:caps/>
              </w:rPr>
              <w:t>Caracteristiques GENERALES du projet de contrat</w:t>
            </w:r>
            <w:r>
              <w:tab/>
            </w:r>
            <w:r>
              <w:fldChar w:fldCharType="begin"/>
            </w:r>
            <w:r>
              <w:instrText xml:space="preserve"> PAGEREF _Toc239327013 \h </w:instrText>
            </w:r>
            <w:r>
              <w:fldChar w:fldCharType="separate"/>
            </w:r>
            <w:r>
              <w:t>5</w:t>
            </w:r>
            <w:r>
              <w:fldChar w:fldCharType="end"/>
            </w:r>
          </w:hyperlink>
        </w:p>
        <w:p w14:paraId="66FED8DC" w14:textId="77777777" w:rsidR="004014A1" w:rsidRDefault="00000000">
          <w:pPr>
            <w:pStyle w:val="TOC2"/>
          </w:pPr>
          <w:hyperlink w:anchor="_Toc239327014" w:tooltip="#_Toc239327014" w:history="1">
            <w:r>
              <w:rPr>
                <w:rStyle w:val="Hyperlink"/>
                <w:rFonts w:cstheme="minorHAnsi"/>
              </w:rPr>
              <w:t>Forme du contrat</w:t>
            </w:r>
            <w:r>
              <w:tab/>
            </w:r>
            <w:r>
              <w:fldChar w:fldCharType="begin"/>
            </w:r>
            <w:r>
              <w:instrText xml:space="preserve"> PAGEREF _Toc239327014 \h </w:instrText>
            </w:r>
            <w:r>
              <w:fldChar w:fldCharType="separate"/>
            </w:r>
            <w:r>
              <w:t>5</w:t>
            </w:r>
            <w:r>
              <w:fldChar w:fldCharType="end"/>
            </w:r>
          </w:hyperlink>
        </w:p>
        <w:p w14:paraId="59D26914" w14:textId="77777777" w:rsidR="004014A1" w:rsidRDefault="00000000">
          <w:pPr>
            <w:pStyle w:val="TOC2"/>
          </w:pPr>
          <w:hyperlink w:anchor="_Toc239327015" w:tooltip="#_Toc239327015" w:history="1">
            <w:r>
              <w:rPr>
                <w:rStyle w:val="Hyperlink"/>
                <w:rFonts w:cstheme="minorHAnsi"/>
              </w:rPr>
              <w:t>Montant estimatif du besoin</w:t>
            </w:r>
            <w:r>
              <w:tab/>
            </w:r>
            <w:r>
              <w:fldChar w:fldCharType="begin"/>
            </w:r>
            <w:r>
              <w:instrText xml:space="preserve"> PAGEREF _Toc239327015 \h </w:instrText>
            </w:r>
            <w:r>
              <w:fldChar w:fldCharType="separate"/>
            </w:r>
            <w:r>
              <w:t>5</w:t>
            </w:r>
            <w:r>
              <w:fldChar w:fldCharType="end"/>
            </w:r>
          </w:hyperlink>
        </w:p>
        <w:p w14:paraId="78161973" w14:textId="77777777" w:rsidR="004014A1" w:rsidRDefault="00000000">
          <w:pPr>
            <w:pStyle w:val="TOC2"/>
          </w:pPr>
          <w:hyperlink w:anchor="_Toc239327016" w:tooltip="#_Toc239327016" w:history="1">
            <w:r>
              <w:rPr>
                <w:rStyle w:val="Hyperlink"/>
                <w:rFonts w:cstheme="minorHAnsi"/>
              </w:rPr>
              <w:t>Durée du contrat</w:t>
            </w:r>
            <w:r>
              <w:tab/>
            </w:r>
            <w:r>
              <w:fldChar w:fldCharType="begin"/>
            </w:r>
            <w:r>
              <w:instrText xml:space="preserve"> PAGEREF _Toc239327016 \h </w:instrText>
            </w:r>
            <w:r>
              <w:fldChar w:fldCharType="separate"/>
            </w:r>
            <w:r>
              <w:t>5</w:t>
            </w:r>
            <w:r>
              <w:fldChar w:fldCharType="end"/>
            </w:r>
          </w:hyperlink>
        </w:p>
        <w:p w14:paraId="02DB5448" w14:textId="77777777" w:rsidR="004014A1" w:rsidRDefault="00000000">
          <w:pPr>
            <w:pStyle w:val="TOC2"/>
          </w:pPr>
          <w:hyperlink w:anchor="_Toc239327017" w:tooltip="#_Toc239327017" w:history="1">
            <w:r>
              <w:rPr>
                <w:rStyle w:val="Hyperlink"/>
                <w:rFonts w:cstheme="minorHAnsi"/>
              </w:rPr>
              <w:t>Options</w:t>
            </w:r>
            <w:r>
              <w:tab/>
            </w:r>
            <w:r>
              <w:fldChar w:fldCharType="begin"/>
            </w:r>
            <w:r>
              <w:instrText xml:space="preserve"> PAGEREF _Toc239327017 \h </w:instrText>
            </w:r>
            <w:r>
              <w:fldChar w:fldCharType="separate"/>
            </w:r>
            <w:r>
              <w:t>5</w:t>
            </w:r>
            <w:r>
              <w:fldChar w:fldCharType="end"/>
            </w:r>
          </w:hyperlink>
        </w:p>
        <w:p w14:paraId="333CF93E" w14:textId="77777777" w:rsidR="004014A1" w:rsidRDefault="00000000">
          <w:pPr>
            <w:pStyle w:val="TOC2"/>
          </w:pPr>
          <w:hyperlink w:anchor="_Toc239327018" w:tooltip="#_Toc239327018" w:history="1">
            <w:r>
              <w:rPr>
                <w:rStyle w:val="Hyperlink"/>
                <w:rFonts w:cstheme="minorHAnsi"/>
                <w:i/>
              </w:rPr>
              <w:t>Prestations similaires</w:t>
            </w:r>
            <w:r>
              <w:tab/>
            </w:r>
            <w:r>
              <w:fldChar w:fldCharType="begin"/>
            </w:r>
            <w:r>
              <w:instrText xml:space="preserve"> PAGEREF _Toc239327018 \h </w:instrText>
            </w:r>
            <w:r>
              <w:fldChar w:fldCharType="separate"/>
            </w:r>
            <w:r>
              <w:t>5</w:t>
            </w:r>
            <w:r>
              <w:fldChar w:fldCharType="end"/>
            </w:r>
          </w:hyperlink>
        </w:p>
        <w:p w14:paraId="45328403" w14:textId="77777777" w:rsidR="004014A1" w:rsidRDefault="00000000">
          <w:pPr>
            <w:pStyle w:val="TOC2"/>
          </w:pPr>
          <w:hyperlink w:anchor="_Toc239327019" w:tooltip="#_Toc239327019" w:history="1">
            <w:r>
              <w:rPr>
                <w:rStyle w:val="Hyperlink"/>
                <w:rFonts w:cstheme="minorHAnsi"/>
                <w:i/>
              </w:rPr>
              <w:t>Reconductions</w:t>
            </w:r>
            <w:r>
              <w:tab/>
            </w:r>
            <w:r>
              <w:fldChar w:fldCharType="begin"/>
            </w:r>
            <w:r>
              <w:instrText xml:space="preserve"> PAGEREF _Toc239327019 \h </w:instrText>
            </w:r>
            <w:r>
              <w:fldChar w:fldCharType="separate"/>
            </w:r>
            <w:r>
              <w:t>5</w:t>
            </w:r>
            <w:r>
              <w:fldChar w:fldCharType="end"/>
            </w:r>
          </w:hyperlink>
        </w:p>
        <w:p w14:paraId="3DFF3251"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20" w:tooltip="#_Toc239327020" w:history="1">
            <w:r>
              <w:rPr>
                <w:rStyle w:val="Hyperlink"/>
                <w:rFonts w:cstheme="minorHAnsi"/>
                <w:b/>
                <w:caps/>
              </w:rPr>
              <w:t>ARTICLE 3 :</w:t>
            </w:r>
            <w:r>
              <w:rPr>
                <w:rFonts w:asciiTheme="minorHAnsi" w:eastAsiaTheme="minorEastAsia" w:hAnsiTheme="minorHAnsi" w:cstheme="minorBidi"/>
                <w:sz w:val="22"/>
                <w:szCs w:val="22"/>
              </w:rPr>
              <w:tab/>
            </w:r>
            <w:r>
              <w:rPr>
                <w:rStyle w:val="Hyperlink"/>
                <w:rFonts w:cstheme="minorHAnsi"/>
                <w:b/>
                <w:caps/>
              </w:rPr>
              <w:t>Conditions de participation de candidats</w:t>
            </w:r>
            <w:r>
              <w:tab/>
            </w:r>
            <w:r>
              <w:fldChar w:fldCharType="begin"/>
            </w:r>
            <w:r>
              <w:instrText xml:space="preserve"> PAGEREF _Toc239327020 \h </w:instrText>
            </w:r>
            <w:r>
              <w:fldChar w:fldCharType="separate"/>
            </w:r>
            <w:r>
              <w:t>5</w:t>
            </w:r>
            <w:r>
              <w:fldChar w:fldCharType="end"/>
            </w:r>
          </w:hyperlink>
        </w:p>
        <w:p w14:paraId="023A355B" w14:textId="77777777" w:rsidR="004014A1" w:rsidRDefault="00000000">
          <w:pPr>
            <w:pStyle w:val="TOC2"/>
          </w:pPr>
          <w:hyperlink w:anchor="_Toc239327021" w:tooltip="#_Toc239327021" w:history="1">
            <w:r>
              <w:rPr>
                <w:rStyle w:val="Hyperlink"/>
                <w:rFonts w:cstheme="minorHAnsi"/>
              </w:rPr>
              <w:t>Conditions de présentation des candidatures</w:t>
            </w:r>
            <w:r>
              <w:tab/>
            </w:r>
            <w:r>
              <w:fldChar w:fldCharType="begin"/>
            </w:r>
            <w:r>
              <w:instrText xml:space="preserve"> PAGEREF _Toc239327021 \h </w:instrText>
            </w:r>
            <w:r>
              <w:fldChar w:fldCharType="separate"/>
            </w:r>
            <w:r>
              <w:t>5</w:t>
            </w:r>
            <w:r>
              <w:fldChar w:fldCharType="end"/>
            </w:r>
          </w:hyperlink>
        </w:p>
        <w:p w14:paraId="0E1D9511" w14:textId="77777777" w:rsidR="004014A1" w:rsidRDefault="00000000">
          <w:pPr>
            <w:pStyle w:val="TOC2"/>
          </w:pPr>
          <w:hyperlink w:anchor="_Toc239327022" w:tooltip="#_Toc239327022" w:history="1">
            <w:r>
              <w:rPr>
                <w:rStyle w:val="Hyperlink"/>
                <w:rFonts w:cstheme="minorHAnsi"/>
              </w:rPr>
              <w:t>Motifs et conditions d’exclusion</w:t>
            </w:r>
            <w:r>
              <w:tab/>
            </w:r>
            <w:r>
              <w:fldChar w:fldCharType="begin"/>
            </w:r>
            <w:r>
              <w:instrText xml:space="preserve"> PAGEREF _Toc239327022 \h </w:instrText>
            </w:r>
            <w:r>
              <w:fldChar w:fldCharType="separate"/>
            </w:r>
            <w:r>
              <w:t>5</w:t>
            </w:r>
            <w:r>
              <w:fldChar w:fldCharType="end"/>
            </w:r>
          </w:hyperlink>
        </w:p>
        <w:p w14:paraId="1FEC58B7" w14:textId="77777777" w:rsidR="004014A1" w:rsidRDefault="00000000">
          <w:pPr>
            <w:pStyle w:val="TOC2"/>
          </w:pPr>
          <w:hyperlink w:anchor="_Toc239327023" w:tooltip="#_Toc239327023" w:history="1">
            <w:r>
              <w:rPr>
                <w:rStyle w:val="Hyperlink"/>
                <w:rFonts w:cstheme="minorHAnsi"/>
              </w:rPr>
              <w:t>Niveaux minimaux requis en termes de capacités économiques, techniques et professionnelles</w:t>
            </w:r>
            <w:r>
              <w:tab/>
            </w:r>
            <w:r>
              <w:fldChar w:fldCharType="begin"/>
            </w:r>
            <w:r>
              <w:instrText xml:space="preserve"> PAGEREF _Toc239327023 \h </w:instrText>
            </w:r>
            <w:r>
              <w:fldChar w:fldCharType="separate"/>
            </w:r>
            <w:r>
              <w:t>6</w:t>
            </w:r>
            <w:r>
              <w:fldChar w:fldCharType="end"/>
            </w:r>
          </w:hyperlink>
        </w:p>
        <w:p w14:paraId="49141D0D" w14:textId="77777777" w:rsidR="004014A1" w:rsidRDefault="00000000">
          <w:pPr>
            <w:pStyle w:val="TOC2"/>
          </w:pPr>
          <w:hyperlink w:anchor="_Toc239327024" w:tooltip="#_Toc239327024" w:history="1">
            <w:r>
              <w:rPr>
                <w:rStyle w:val="Hyperlink"/>
                <w:rFonts w:cstheme="minorHAnsi"/>
              </w:rPr>
              <w:t>Précisions concernant les groupements d'opérateurs économiques (consortium)</w:t>
            </w:r>
            <w:r>
              <w:tab/>
            </w:r>
            <w:r>
              <w:fldChar w:fldCharType="begin"/>
            </w:r>
            <w:r>
              <w:instrText xml:space="preserve"> PAGEREF _Toc239327024 \h </w:instrText>
            </w:r>
            <w:r>
              <w:fldChar w:fldCharType="separate"/>
            </w:r>
            <w:r>
              <w:t>6</w:t>
            </w:r>
            <w:r>
              <w:fldChar w:fldCharType="end"/>
            </w:r>
          </w:hyperlink>
        </w:p>
        <w:p w14:paraId="23AB5AE2" w14:textId="77777777" w:rsidR="004014A1" w:rsidRDefault="00000000">
          <w:pPr>
            <w:pStyle w:val="TOC2"/>
          </w:pPr>
          <w:hyperlink w:anchor="_Toc239327025" w:tooltip="#_Toc239327025" w:history="1">
            <w:r>
              <w:rPr>
                <w:rStyle w:val="Hyperlink"/>
                <w:rFonts w:cstheme="minorHAnsi"/>
                <w:i/>
              </w:rPr>
              <w:t>Motifs d'exclusion en cas de groupement d'opérateurs économiques</w:t>
            </w:r>
            <w:r>
              <w:tab/>
            </w:r>
            <w:r>
              <w:fldChar w:fldCharType="begin"/>
            </w:r>
            <w:r>
              <w:instrText xml:space="preserve"> PAGEREF _Toc239327025 \h </w:instrText>
            </w:r>
            <w:r>
              <w:fldChar w:fldCharType="separate"/>
            </w:r>
            <w:r>
              <w:t>6</w:t>
            </w:r>
            <w:r>
              <w:fldChar w:fldCharType="end"/>
            </w:r>
          </w:hyperlink>
        </w:p>
        <w:p w14:paraId="7FCA5DCC" w14:textId="77777777" w:rsidR="004014A1" w:rsidRDefault="00000000">
          <w:pPr>
            <w:pStyle w:val="TOC2"/>
          </w:pPr>
          <w:hyperlink w:anchor="_Toc239327026" w:tooltip="#_Toc239327026" w:history="1">
            <w:r>
              <w:rPr>
                <w:rStyle w:val="Hyperlink"/>
                <w:rFonts w:cstheme="minorHAnsi"/>
                <w:i/>
              </w:rPr>
              <w:t>Forme du groupement</w:t>
            </w:r>
            <w:r>
              <w:tab/>
            </w:r>
            <w:r>
              <w:fldChar w:fldCharType="begin"/>
            </w:r>
            <w:r>
              <w:instrText xml:space="preserve"> PAGEREF _Toc239327026 \h </w:instrText>
            </w:r>
            <w:r>
              <w:fldChar w:fldCharType="separate"/>
            </w:r>
            <w:r>
              <w:t>6</w:t>
            </w:r>
            <w:r>
              <w:fldChar w:fldCharType="end"/>
            </w:r>
          </w:hyperlink>
        </w:p>
        <w:p w14:paraId="117D692D" w14:textId="77777777" w:rsidR="004014A1" w:rsidRDefault="00000000">
          <w:pPr>
            <w:pStyle w:val="TOC2"/>
          </w:pPr>
          <w:hyperlink w:anchor="_Toc239327027" w:tooltip="#_Toc239327027" w:history="1">
            <w:r>
              <w:rPr>
                <w:rStyle w:val="Hyperlink"/>
                <w:rFonts w:cstheme="minorHAnsi"/>
              </w:rPr>
              <w:t>Précisions concernant la sous-traitance</w:t>
            </w:r>
            <w:r>
              <w:tab/>
            </w:r>
            <w:r>
              <w:fldChar w:fldCharType="begin"/>
            </w:r>
            <w:r>
              <w:instrText xml:space="preserve"> PAGEREF _Toc239327027 \h </w:instrText>
            </w:r>
            <w:r>
              <w:fldChar w:fldCharType="separate"/>
            </w:r>
            <w:r>
              <w:t>6</w:t>
            </w:r>
            <w:r>
              <w:fldChar w:fldCharType="end"/>
            </w:r>
          </w:hyperlink>
        </w:p>
        <w:p w14:paraId="1338A5D0" w14:textId="77777777" w:rsidR="004014A1" w:rsidRDefault="00000000">
          <w:pPr>
            <w:pStyle w:val="TOC2"/>
          </w:pPr>
          <w:hyperlink w:anchor="_Toc239327028" w:tooltip="#_Toc239327028" w:history="1">
            <w:r>
              <w:rPr>
                <w:rStyle w:val="Hyperlink"/>
                <w:rFonts w:cstheme="minorHAnsi"/>
                <w:i/>
              </w:rPr>
              <w:t>Motifs d'exclusion en cas de sous-traitance</w:t>
            </w:r>
            <w:r>
              <w:tab/>
            </w:r>
            <w:r>
              <w:fldChar w:fldCharType="begin"/>
            </w:r>
            <w:r>
              <w:instrText xml:space="preserve"> PAGEREF _Toc239327028 \h </w:instrText>
            </w:r>
            <w:r>
              <w:fldChar w:fldCharType="separate"/>
            </w:r>
            <w:r>
              <w:t>6</w:t>
            </w:r>
            <w:r>
              <w:fldChar w:fldCharType="end"/>
            </w:r>
          </w:hyperlink>
        </w:p>
        <w:p w14:paraId="7F3DD475" w14:textId="77777777" w:rsidR="004014A1" w:rsidRDefault="00000000">
          <w:pPr>
            <w:pStyle w:val="TOC2"/>
          </w:pPr>
          <w:hyperlink w:anchor="_Toc239327029" w:tooltip="#_Toc239327029" w:history="1">
            <w:r>
              <w:rPr>
                <w:rStyle w:val="Hyperlink"/>
                <w:rFonts w:cstheme="minorHAnsi"/>
                <w:i/>
              </w:rPr>
              <w:t>Présentation d’un sous-traitant</w:t>
            </w:r>
            <w:r>
              <w:tab/>
            </w:r>
            <w:r>
              <w:fldChar w:fldCharType="begin"/>
            </w:r>
            <w:r>
              <w:instrText xml:space="preserve"> PAGEREF _Toc239327029 \h </w:instrText>
            </w:r>
            <w:r>
              <w:fldChar w:fldCharType="separate"/>
            </w:r>
            <w:r>
              <w:t>7</w:t>
            </w:r>
            <w:r>
              <w:fldChar w:fldCharType="end"/>
            </w:r>
          </w:hyperlink>
        </w:p>
        <w:p w14:paraId="020C79AE"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30" w:tooltip="#_Toc239327030" w:history="1">
            <w:r>
              <w:rPr>
                <w:rStyle w:val="Hyperlink"/>
                <w:rFonts w:cstheme="minorHAnsi"/>
                <w:b/>
                <w:caps/>
              </w:rPr>
              <w:t>ARTICLE 4 :</w:t>
            </w:r>
            <w:r>
              <w:rPr>
                <w:rFonts w:asciiTheme="minorHAnsi" w:eastAsiaTheme="minorEastAsia" w:hAnsiTheme="minorHAnsi" w:cstheme="minorBidi"/>
                <w:sz w:val="22"/>
                <w:szCs w:val="22"/>
              </w:rPr>
              <w:tab/>
            </w:r>
            <w:r>
              <w:rPr>
                <w:rStyle w:val="Hyperlink"/>
                <w:rFonts w:cstheme="minorHAnsi"/>
                <w:b/>
                <w:caps/>
              </w:rPr>
              <w:t>Présentation des plis et modalités de depôt</w:t>
            </w:r>
            <w:r>
              <w:tab/>
            </w:r>
            <w:r>
              <w:fldChar w:fldCharType="begin"/>
            </w:r>
            <w:r>
              <w:instrText xml:space="preserve"> PAGEREF _Toc239327030 \h </w:instrText>
            </w:r>
            <w:r>
              <w:fldChar w:fldCharType="separate"/>
            </w:r>
            <w:r>
              <w:t>7</w:t>
            </w:r>
            <w:r>
              <w:fldChar w:fldCharType="end"/>
            </w:r>
          </w:hyperlink>
        </w:p>
        <w:p w14:paraId="33A4AE5A" w14:textId="77777777" w:rsidR="004014A1" w:rsidRDefault="00000000">
          <w:pPr>
            <w:pStyle w:val="TOC2"/>
          </w:pPr>
          <w:hyperlink w:anchor="_Toc239327031" w:tooltip="#_Toc239327031" w:history="1">
            <w:r>
              <w:rPr>
                <w:rStyle w:val="Hyperlink"/>
                <w:rFonts w:cstheme="minorHAnsi"/>
              </w:rPr>
              <w:t>Pièces constitutives de la candidature</w:t>
            </w:r>
            <w:r>
              <w:tab/>
            </w:r>
            <w:r>
              <w:fldChar w:fldCharType="begin"/>
            </w:r>
            <w:r>
              <w:instrText xml:space="preserve"> PAGEREF _Toc239327031 \h </w:instrText>
            </w:r>
            <w:r>
              <w:fldChar w:fldCharType="separate"/>
            </w:r>
            <w:r>
              <w:t>7</w:t>
            </w:r>
            <w:r>
              <w:fldChar w:fldCharType="end"/>
            </w:r>
          </w:hyperlink>
        </w:p>
        <w:p w14:paraId="4FC177A2" w14:textId="77777777" w:rsidR="004014A1" w:rsidRDefault="00000000">
          <w:pPr>
            <w:pStyle w:val="TOC2"/>
          </w:pPr>
          <w:hyperlink w:anchor="_Toc239327032" w:tooltip="#_Toc239327032" w:history="1">
            <w:r>
              <w:rPr>
                <w:rStyle w:val="Hyperlink"/>
                <w:rFonts w:cstheme="minorHAnsi"/>
              </w:rPr>
              <w:t>Pièces constitutives de l’offre</w:t>
            </w:r>
            <w:r>
              <w:tab/>
            </w:r>
            <w:r>
              <w:fldChar w:fldCharType="begin"/>
            </w:r>
            <w:r>
              <w:instrText xml:space="preserve"> PAGEREF _Toc239327032 \h </w:instrText>
            </w:r>
            <w:r>
              <w:fldChar w:fldCharType="separate"/>
            </w:r>
            <w:r>
              <w:t>7</w:t>
            </w:r>
            <w:r>
              <w:fldChar w:fldCharType="end"/>
            </w:r>
          </w:hyperlink>
        </w:p>
        <w:p w14:paraId="4C175087" w14:textId="77777777" w:rsidR="004014A1" w:rsidRDefault="00000000">
          <w:pPr>
            <w:pStyle w:val="TOC2"/>
          </w:pPr>
          <w:hyperlink w:anchor="_Toc239327033" w:tooltip="#_Toc239327033" w:history="1">
            <w:r>
              <w:rPr>
                <w:rStyle w:val="Hyperlink"/>
                <w:rFonts w:cstheme="minorHAnsi"/>
              </w:rPr>
              <w:t>Durée de validité des offres</w:t>
            </w:r>
            <w:r>
              <w:tab/>
            </w:r>
            <w:r>
              <w:fldChar w:fldCharType="begin"/>
            </w:r>
            <w:r>
              <w:instrText xml:space="preserve"> PAGEREF _Toc239327033 \h </w:instrText>
            </w:r>
            <w:r>
              <w:fldChar w:fldCharType="separate"/>
            </w:r>
            <w:r>
              <w:t>8</w:t>
            </w:r>
            <w:r>
              <w:fldChar w:fldCharType="end"/>
            </w:r>
          </w:hyperlink>
        </w:p>
        <w:p w14:paraId="35791A3E" w14:textId="77777777" w:rsidR="004014A1" w:rsidRDefault="00000000">
          <w:pPr>
            <w:pStyle w:val="TOC2"/>
          </w:pPr>
          <w:hyperlink w:anchor="_Toc239327034" w:tooltip="#_Toc239327034" w:history="1">
            <w:r>
              <w:rPr>
                <w:rStyle w:val="Hyperlink"/>
                <w:rFonts w:cstheme="minorHAnsi"/>
              </w:rPr>
              <w:t>Modalités de remise des plis</w:t>
            </w:r>
            <w:r>
              <w:tab/>
            </w:r>
            <w:r>
              <w:fldChar w:fldCharType="begin"/>
            </w:r>
            <w:r>
              <w:instrText xml:space="preserve"> PAGEREF _Toc239327034 \h </w:instrText>
            </w:r>
            <w:r>
              <w:fldChar w:fldCharType="separate"/>
            </w:r>
            <w:r>
              <w:t>8</w:t>
            </w:r>
            <w:r>
              <w:fldChar w:fldCharType="end"/>
            </w:r>
          </w:hyperlink>
        </w:p>
        <w:p w14:paraId="01F09624" w14:textId="77777777" w:rsidR="004014A1" w:rsidRDefault="00000000">
          <w:pPr>
            <w:pStyle w:val="TOC2"/>
          </w:pPr>
          <w:hyperlink w:anchor="_Toc239327035" w:tooltip="#_Toc239327035" w:history="1">
            <w:r>
              <w:rPr>
                <w:rStyle w:val="Hyperlink"/>
                <w:rFonts w:cstheme="minorHAnsi"/>
                <w:i/>
              </w:rPr>
              <w:t>Remise des plis sous format papier</w:t>
            </w:r>
            <w:r>
              <w:tab/>
            </w:r>
            <w:r>
              <w:fldChar w:fldCharType="begin"/>
            </w:r>
            <w:r>
              <w:instrText xml:space="preserve"> PAGEREF _Toc239327035 \h </w:instrText>
            </w:r>
            <w:r>
              <w:fldChar w:fldCharType="separate"/>
            </w:r>
            <w:r>
              <w:t>8</w:t>
            </w:r>
            <w:r>
              <w:fldChar w:fldCharType="end"/>
            </w:r>
          </w:hyperlink>
        </w:p>
        <w:p w14:paraId="05BC9FD9" w14:textId="77777777" w:rsidR="004014A1" w:rsidRDefault="00000000">
          <w:pPr>
            <w:pStyle w:val="TOC2"/>
          </w:pPr>
          <w:hyperlink w:anchor="_Toc239327036" w:tooltip="#_Toc239327036" w:history="1">
            <w:r>
              <w:rPr>
                <w:rStyle w:val="Hyperlink"/>
                <w:rFonts w:cstheme="minorHAnsi"/>
                <w:i/>
              </w:rPr>
              <w:t>Remise électronique</w:t>
            </w:r>
            <w:r>
              <w:tab/>
            </w:r>
            <w:r>
              <w:fldChar w:fldCharType="begin"/>
            </w:r>
            <w:r>
              <w:instrText xml:space="preserve"> PAGEREF _Toc239327036 \h </w:instrText>
            </w:r>
            <w:r>
              <w:fldChar w:fldCharType="separate"/>
            </w:r>
            <w:r>
              <w:t>8</w:t>
            </w:r>
            <w:r>
              <w:fldChar w:fldCharType="end"/>
            </w:r>
          </w:hyperlink>
        </w:p>
        <w:p w14:paraId="304D073A"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37" w:tooltip="#_Toc239327037" w:history="1">
            <w:r>
              <w:rPr>
                <w:rStyle w:val="Hyperlink"/>
                <w:rFonts w:cstheme="minorHAnsi"/>
                <w:b/>
                <w:caps/>
              </w:rPr>
              <w:t>ARTICLE 5 :</w:t>
            </w:r>
            <w:r>
              <w:rPr>
                <w:rFonts w:asciiTheme="minorHAnsi" w:eastAsiaTheme="minorEastAsia" w:hAnsiTheme="minorHAnsi" w:cstheme="minorBidi"/>
                <w:sz w:val="22"/>
                <w:szCs w:val="22"/>
              </w:rPr>
              <w:tab/>
            </w:r>
            <w:r>
              <w:rPr>
                <w:rStyle w:val="Hyperlink"/>
                <w:rFonts w:cstheme="minorHAnsi"/>
                <w:b/>
                <w:caps/>
              </w:rPr>
              <w:t>Analyse des candidatures</w:t>
            </w:r>
            <w:r>
              <w:tab/>
            </w:r>
            <w:r>
              <w:fldChar w:fldCharType="begin"/>
            </w:r>
            <w:r>
              <w:instrText xml:space="preserve"> PAGEREF _Toc239327037 \h </w:instrText>
            </w:r>
            <w:r>
              <w:fldChar w:fldCharType="separate"/>
            </w:r>
            <w:r>
              <w:t>9</w:t>
            </w:r>
            <w:r>
              <w:fldChar w:fldCharType="end"/>
            </w:r>
          </w:hyperlink>
        </w:p>
        <w:p w14:paraId="161AF9CE" w14:textId="77777777" w:rsidR="004014A1" w:rsidRDefault="00000000">
          <w:pPr>
            <w:pStyle w:val="TOC2"/>
          </w:pPr>
          <w:hyperlink w:anchor="_Toc239327038" w:tooltip="#_Toc239327038" w:history="1">
            <w:r>
              <w:rPr>
                <w:rStyle w:val="Hyperlink"/>
                <w:rFonts w:cstheme="minorHAnsi"/>
              </w:rPr>
              <w:t>Demande de compléments de candidature</w:t>
            </w:r>
            <w:r>
              <w:tab/>
            </w:r>
            <w:r>
              <w:fldChar w:fldCharType="begin"/>
            </w:r>
            <w:r>
              <w:instrText xml:space="preserve"> PAGEREF _Toc239327038 \h </w:instrText>
            </w:r>
            <w:r>
              <w:fldChar w:fldCharType="separate"/>
            </w:r>
            <w:r>
              <w:t>9</w:t>
            </w:r>
            <w:r>
              <w:fldChar w:fldCharType="end"/>
            </w:r>
          </w:hyperlink>
        </w:p>
        <w:p w14:paraId="23EE11D7" w14:textId="77777777" w:rsidR="004014A1" w:rsidRDefault="00000000">
          <w:pPr>
            <w:pStyle w:val="TOC2"/>
          </w:pPr>
          <w:hyperlink w:anchor="_Toc239327039" w:tooltip="#_Toc239327039" w:history="1">
            <w:r>
              <w:rPr>
                <w:rStyle w:val="Hyperlink"/>
                <w:rFonts w:cstheme="minorHAnsi"/>
              </w:rPr>
              <w:t>Rejet des candidatures hors délais - Ouverture des plis</w:t>
            </w:r>
            <w:r>
              <w:tab/>
            </w:r>
            <w:r>
              <w:fldChar w:fldCharType="begin"/>
            </w:r>
            <w:r>
              <w:instrText xml:space="preserve"> PAGEREF _Toc239327039 \h </w:instrText>
            </w:r>
            <w:r>
              <w:fldChar w:fldCharType="separate"/>
            </w:r>
            <w:r>
              <w:t>9</w:t>
            </w:r>
            <w:r>
              <w:fldChar w:fldCharType="end"/>
            </w:r>
          </w:hyperlink>
        </w:p>
        <w:p w14:paraId="7F2F378F" w14:textId="77777777" w:rsidR="004014A1" w:rsidRDefault="00000000">
          <w:pPr>
            <w:pStyle w:val="TOC2"/>
          </w:pPr>
          <w:hyperlink w:anchor="_Toc239327040" w:tooltip="#_Toc239327040" w:history="1">
            <w:r>
              <w:rPr>
                <w:rStyle w:val="Hyperlink"/>
                <w:rFonts w:cstheme="minorHAnsi"/>
              </w:rPr>
              <w:t>Recevabilité des candidatures</w:t>
            </w:r>
            <w:r>
              <w:tab/>
            </w:r>
            <w:r>
              <w:fldChar w:fldCharType="begin"/>
            </w:r>
            <w:r>
              <w:instrText xml:space="preserve"> PAGEREF _Toc239327040 \h </w:instrText>
            </w:r>
            <w:r>
              <w:fldChar w:fldCharType="separate"/>
            </w:r>
            <w:r>
              <w:t>9</w:t>
            </w:r>
            <w:r>
              <w:fldChar w:fldCharType="end"/>
            </w:r>
          </w:hyperlink>
        </w:p>
        <w:p w14:paraId="51737853"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41" w:tooltip="#_Toc239327041" w:history="1">
            <w:r>
              <w:rPr>
                <w:rStyle w:val="Hyperlink"/>
                <w:rFonts w:cstheme="minorHAnsi"/>
                <w:b/>
                <w:caps/>
              </w:rPr>
              <w:t>ARTICLE 6 :</w:t>
            </w:r>
            <w:r>
              <w:rPr>
                <w:rFonts w:asciiTheme="minorHAnsi" w:eastAsiaTheme="minorEastAsia" w:hAnsiTheme="minorHAnsi" w:cstheme="minorBidi"/>
                <w:sz w:val="22"/>
                <w:szCs w:val="22"/>
              </w:rPr>
              <w:tab/>
            </w:r>
            <w:r>
              <w:rPr>
                <w:rStyle w:val="Hyperlink"/>
                <w:rFonts w:cstheme="minorHAnsi"/>
                <w:b/>
                <w:caps/>
              </w:rPr>
              <w:t>Evaluation des offres, négociation et attribution</w:t>
            </w:r>
            <w:r>
              <w:tab/>
            </w:r>
            <w:r>
              <w:fldChar w:fldCharType="begin"/>
            </w:r>
            <w:r>
              <w:instrText xml:space="preserve"> PAGEREF _Toc239327041 \h </w:instrText>
            </w:r>
            <w:r>
              <w:fldChar w:fldCharType="separate"/>
            </w:r>
            <w:r>
              <w:t>10</w:t>
            </w:r>
            <w:r>
              <w:fldChar w:fldCharType="end"/>
            </w:r>
          </w:hyperlink>
        </w:p>
        <w:p w14:paraId="55DBE4B0" w14:textId="77777777" w:rsidR="004014A1" w:rsidRDefault="00000000">
          <w:pPr>
            <w:pStyle w:val="TOC2"/>
          </w:pPr>
          <w:hyperlink w:anchor="_Toc239327042" w:tooltip="#_Toc239327042" w:history="1">
            <w:r>
              <w:rPr>
                <w:rStyle w:val="Hyperlink"/>
                <w:rFonts w:cstheme="minorHAnsi"/>
              </w:rPr>
              <w:t>Rejet des offres hors délais - Ouverture des offres</w:t>
            </w:r>
            <w:r>
              <w:tab/>
            </w:r>
            <w:r>
              <w:fldChar w:fldCharType="begin"/>
            </w:r>
            <w:r>
              <w:instrText xml:space="preserve"> PAGEREF _Toc239327042 \h </w:instrText>
            </w:r>
            <w:r>
              <w:fldChar w:fldCharType="separate"/>
            </w:r>
            <w:r>
              <w:t>10</w:t>
            </w:r>
            <w:r>
              <w:fldChar w:fldCharType="end"/>
            </w:r>
          </w:hyperlink>
        </w:p>
        <w:p w14:paraId="6FE11A49" w14:textId="77777777" w:rsidR="004014A1" w:rsidRDefault="00000000">
          <w:pPr>
            <w:pStyle w:val="TOC2"/>
          </w:pPr>
          <w:hyperlink w:anchor="_Toc239327043" w:tooltip="#_Toc239327043" w:history="1">
            <w:r>
              <w:rPr>
                <w:rStyle w:val="Hyperlink"/>
                <w:rFonts w:cstheme="minorHAnsi"/>
              </w:rPr>
              <w:t>Analyse des offres</w:t>
            </w:r>
            <w:r>
              <w:tab/>
            </w:r>
            <w:r>
              <w:fldChar w:fldCharType="begin"/>
            </w:r>
            <w:r>
              <w:instrText xml:space="preserve"> PAGEREF _Toc239327043 \h </w:instrText>
            </w:r>
            <w:r>
              <w:fldChar w:fldCharType="separate"/>
            </w:r>
            <w:r>
              <w:t>10</w:t>
            </w:r>
            <w:r>
              <w:fldChar w:fldCharType="end"/>
            </w:r>
          </w:hyperlink>
        </w:p>
        <w:p w14:paraId="29BA675E" w14:textId="77777777" w:rsidR="004014A1" w:rsidRDefault="00000000">
          <w:pPr>
            <w:pStyle w:val="TOC2"/>
          </w:pPr>
          <w:hyperlink w:anchor="_Toc239327044" w:tooltip="#_Toc239327044" w:history="1">
            <w:r>
              <w:rPr>
                <w:rStyle w:val="Hyperlink"/>
                <w:rFonts w:cstheme="minorHAnsi"/>
              </w:rPr>
              <w:t>Rejet des offres irrégulières, inacceptables et inappropriées</w:t>
            </w:r>
            <w:r>
              <w:tab/>
            </w:r>
            <w:r>
              <w:fldChar w:fldCharType="begin"/>
            </w:r>
            <w:r>
              <w:instrText xml:space="preserve"> PAGEREF _Toc239327044 \h </w:instrText>
            </w:r>
            <w:r>
              <w:fldChar w:fldCharType="separate"/>
            </w:r>
            <w:r>
              <w:t>10</w:t>
            </w:r>
            <w:r>
              <w:fldChar w:fldCharType="end"/>
            </w:r>
          </w:hyperlink>
        </w:p>
        <w:p w14:paraId="6F1C5CEF" w14:textId="77777777" w:rsidR="004014A1" w:rsidRDefault="00000000">
          <w:pPr>
            <w:pStyle w:val="TOC2"/>
          </w:pPr>
          <w:hyperlink w:anchor="_Toc239327045" w:tooltip="#_Toc239327045" w:history="1">
            <w:r>
              <w:rPr>
                <w:rStyle w:val="Hyperlink"/>
                <w:rFonts w:cstheme="minorHAnsi"/>
              </w:rPr>
              <w:t>Comparaison des offres pour sélection de l’offre économiquement la plus avantageuse</w:t>
            </w:r>
            <w:r>
              <w:tab/>
            </w:r>
            <w:r>
              <w:fldChar w:fldCharType="begin"/>
            </w:r>
            <w:r>
              <w:instrText xml:space="preserve"> PAGEREF _Toc239327045 \h </w:instrText>
            </w:r>
            <w:r>
              <w:fldChar w:fldCharType="separate"/>
            </w:r>
            <w:r>
              <w:t>10</w:t>
            </w:r>
            <w:r>
              <w:fldChar w:fldCharType="end"/>
            </w:r>
          </w:hyperlink>
        </w:p>
        <w:p w14:paraId="2E262A39" w14:textId="77777777" w:rsidR="004014A1" w:rsidRDefault="00000000">
          <w:pPr>
            <w:pStyle w:val="TOC2"/>
          </w:pPr>
          <w:hyperlink w:anchor="_Toc239327046" w:tooltip="#_Toc239327046" w:history="1">
            <w:r>
              <w:rPr>
                <w:rStyle w:val="Hyperlink"/>
                <w:rFonts w:cstheme="minorHAnsi"/>
                <w:i/>
              </w:rPr>
              <w:t>Critère 1 : prix des prestations</w:t>
            </w:r>
            <w:r>
              <w:tab/>
            </w:r>
            <w:r>
              <w:fldChar w:fldCharType="begin"/>
            </w:r>
            <w:r>
              <w:instrText xml:space="preserve"> PAGEREF _Toc239327046 \h </w:instrText>
            </w:r>
            <w:r>
              <w:fldChar w:fldCharType="separate"/>
            </w:r>
            <w:r>
              <w:t>11</w:t>
            </w:r>
            <w:r>
              <w:fldChar w:fldCharType="end"/>
            </w:r>
          </w:hyperlink>
        </w:p>
        <w:p w14:paraId="092E87AE" w14:textId="77777777" w:rsidR="004014A1" w:rsidRDefault="00000000">
          <w:pPr>
            <w:pStyle w:val="TOC2"/>
          </w:pPr>
          <w:hyperlink w:anchor="_Toc239327047" w:tooltip="#_Toc239327047" w:history="1">
            <w:r>
              <w:rPr>
                <w:rStyle w:val="Hyperlink"/>
                <w:rFonts w:cstheme="minorHAnsi"/>
                <w:i/>
              </w:rPr>
              <w:t>Critère 2 : Qualité technique</w:t>
            </w:r>
            <w:r>
              <w:tab/>
            </w:r>
            <w:r>
              <w:fldChar w:fldCharType="begin"/>
            </w:r>
            <w:r>
              <w:instrText xml:space="preserve"> PAGEREF _Toc239327047 \h </w:instrText>
            </w:r>
            <w:r>
              <w:fldChar w:fldCharType="separate"/>
            </w:r>
            <w:r>
              <w:t>11</w:t>
            </w:r>
            <w:r>
              <w:fldChar w:fldCharType="end"/>
            </w:r>
          </w:hyperlink>
        </w:p>
        <w:p w14:paraId="5917CFD0" w14:textId="77777777" w:rsidR="004014A1" w:rsidRDefault="00000000">
          <w:pPr>
            <w:pStyle w:val="TOC2"/>
          </w:pPr>
          <w:hyperlink w:anchor="_Toc239327048" w:tooltip="#_Toc239327048" w:history="1">
            <w:r>
              <w:rPr>
                <w:rStyle w:val="Hyperlink"/>
                <w:rFonts w:cstheme="minorHAnsi"/>
              </w:rPr>
              <w:t>Négociations</w:t>
            </w:r>
            <w:r>
              <w:tab/>
            </w:r>
            <w:r>
              <w:fldChar w:fldCharType="begin"/>
            </w:r>
            <w:r>
              <w:instrText xml:space="preserve"> PAGEREF _Toc239327048 \h </w:instrText>
            </w:r>
            <w:r>
              <w:fldChar w:fldCharType="separate"/>
            </w:r>
            <w:r>
              <w:t>11</w:t>
            </w:r>
            <w:r>
              <w:fldChar w:fldCharType="end"/>
            </w:r>
          </w:hyperlink>
        </w:p>
        <w:p w14:paraId="018C41D9" w14:textId="77777777" w:rsidR="004014A1" w:rsidRDefault="00000000">
          <w:pPr>
            <w:pStyle w:val="TOC2"/>
          </w:pPr>
          <w:hyperlink w:anchor="_Toc239327049" w:tooltip="#_Toc239327049" w:history="1">
            <w:r>
              <w:rPr>
                <w:rStyle w:val="Hyperlink"/>
                <w:rFonts w:cstheme="minorHAnsi"/>
              </w:rPr>
              <w:t>Attribution</w:t>
            </w:r>
            <w:r>
              <w:tab/>
            </w:r>
            <w:r>
              <w:fldChar w:fldCharType="begin"/>
            </w:r>
            <w:r>
              <w:instrText xml:space="preserve"> PAGEREF _Toc239327049 \h </w:instrText>
            </w:r>
            <w:r>
              <w:fldChar w:fldCharType="separate"/>
            </w:r>
            <w:r>
              <w:t>12</w:t>
            </w:r>
            <w:r>
              <w:fldChar w:fldCharType="end"/>
            </w:r>
          </w:hyperlink>
        </w:p>
        <w:p w14:paraId="7CC6C8CB"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50" w:tooltip="#_Toc239327050" w:history="1">
            <w:r>
              <w:rPr>
                <w:rStyle w:val="Hyperlink"/>
                <w:rFonts w:cstheme="minorHAnsi"/>
                <w:b/>
                <w:caps/>
              </w:rPr>
              <w:t>ARTICLE 7 :</w:t>
            </w:r>
            <w:r>
              <w:rPr>
                <w:rFonts w:asciiTheme="minorHAnsi" w:eastAsiaTheme="minorEastAsia" w:hAnsiTheme="minorHAnsi" w:cstheme="minorBidi"/>
                <w:sz w:val="22"/>
                <w:szCs w:val="22"/>
              </w:rPr>
              <w:tab/>
            </w:r>
            <w:r>
              <w:rPr>
                <w:rStyle w:val="Hyperlink"/>
                <w:rFonts w:cstheme="minorHAnsi"/>
                <w:b/>
                <w:caps/>
              </w:rPr>
              <w:t>Traitement des données à caractère personnel dans le cadre de la présente consultation et pour le suivi d’exécution du contrat</w:t>
            </w:r>
            <w:r>
              <w:tab/>
            </w:r>
            <w:r>
              <w:fldChar w:fldCharType="begin"/>
            </w:r>
            <w:r>
              <w:instrText xml:space="preserve"> PAGEREF _Toc239327050 \h </w:instrText>
            </w:r>
            <w:r>
              <w:fldChar w:fldCharType="separate"/>
            </w:r>
            <w:r>
              <w:t>12</w:t>
            </w:r>
            <w:r>
              <w:fldChar w:fldCharType="end"/>
            </w:r>
          </w:hyperlink>
        </w:p>
        <w:p w14:paraId="7111FEF8" w14:textId="77777777" w:rsidR="004014A1" w:rsidRDefault="00000000">
          <w:pPr>
            <w:pStyle w:val="TOC2"/>
          </w:pPr>
          <w:hyperlink w:anchor="_Toc239327051" w:tooltip="#_Toc239327051" w:history="1">
            <w:r>
              <w:rPr>
                <w:rStyle w:val="Hyperlink"/>
                <w:rFonts w:cstheme="minorHAnsi"/>
              </w:rPr>
              <w:t>Identité et coordonnées du responsable de traitement et de son représentant :</w:t>
            </w:r>
            <w:r>
              <w:tab/>
            </w:r>
            <w:r>
              <w:fldChar w:fldCharType="begin"/>
            </w:r>
            <w:r>
              <w:instrText xml:space="preserve"> PAGEREF _Toc239327051 \h </w:instrText>
            </w:r>
            <w:r>
              <w:fldChar w:fldCharType="separate"/>
            </w:r>
            <w:r>
              <w:t>12</w:t>
            </w:r>
            <w:r>
              <w:fldChar w:fldCharType="end"/>
            </w:r>
          </w:hyperlink>
        </w:p>
        <w:p w14:paraId="5A6F52C6" w14:textId="77777777" w:rsidR="004014A1" w:rsidRDefault="00000000">
          <w:pPr>
            <w:pStyle w:val="TOC2"/>
          </w:pPr>
          <w:hyperlink w:anchor="_Toc239327052" w:tooltip="#_Toc239327052" w:history="1">
            <w:r>
              <w:rPr>
                <w:rStyle w:val="Hyperlink"/>
                <w:rFonts w:cstheme="minorHAnsi"/>
              </w:rPr>
              <w:t>Pour la plateforme PLACE :</w:t>
            </w:r>
            <w:r>
              <w:tab/>
            </w:r>
            <w:r>
              <w:fldChar w:fldCharType="begin"/>
            </w:r>
            <w:r>
              <w:instrText xml:space="preserve"> PAGEREF _Toc239327052 \h </w:instrText>
            </w:r>
            <w:r>
              <w:fldChar w:fldCharType="separate"/>
            </w:r>
            <w:r>
              <w:t>12</w:t>
            </w:r>
            <w:r>
              <w:fldChar w:fldCharType="end"/>
            </w:r>
          </w:hyperlink>
        </w:p>
        <w:p w14:paraId="7BC7584F" w14:textId="77777777" w:rsidR="004014A1" w:rsidRDefault="00000000">
          <w:pPr>
            <w:pStyle w:val="TOC2"/>
          </w:pPr>
          <w:hyperlink w:anchor="_Toc239327053" w:tooltip="#_Toc239327053" w:history="1">
            <w:r>
              <w:rPr>
                <w:rStyle w:val="Hyperlink"/>
                <w:rFonts w:cstheme="minorHAnsi"/>
              </w:rPr>
              <w:t>Coordonnées du délégué à la protection des données personnelles :</w:t>
            </w:r>
            <w:r>
              <w:tab/>
            </w:r>
            <w:r>
              <w:fldChar w:fldCharType="begin"/>
            </w:r>
            <w:r>
              <w:instrText xml:space="preserve"> PAGEREF _Toc239327053 \h </w:instrText>
            </w:r>
            <w:r>
              <w:fldChar w:fldCharType="separate"/>
            </w:r>
            <w:r>
              <w:t>13</w:t>
            </w:r>
            <w:r>
              <w:fldChar w:fldCharType="end"/>
            </w:r>
          </w:hyperlink>
        </w:p>
        <w:p w14:paraId="2993BB7F" w14:textId="77777777" w:rsidR="004014A1" w:rsidRDefault="00000000">
          <w:pPr>
            <w:pStyle w:val="TOC2"/>
          </w:pPr>
          <w:hyperlink w:anchor="_Toc239327054" w:tooltip="#_Toc239327054" w:history="1">
            <w:r>
              <w:rPr>
                <w:rStyle w:val="Hyperlink"/>
                <w:rFonts w:cstheme="minorHAnsi"/>
              </w:rPr>
              <w:t>Pour l’autorité contractante :</w:t>
            </w:r>
            <w:r>
              <w:tab/>
            </w:r>
            <w:r>
              <w:fldChar w:fldCharType="begin"/>
            </w:r>
            <w:r>
              <w:instrText xml:space="preserve"> PAGEREF _Toc239327054 \h </w:instrText>
            </w:r>
            <w:r>
              <w:fldChar w:fldCharType="separate"/>
            </w:r>
            <w:r>
              <w:t>13</w:t>
            </w:r>
            <w:r>
              <w:fldChar w:fldCharType="end"/>
            </w:r>
          </w:hyperlink>
        </w:p>
        <w:p w14:paraId="238CC716" w14:textId="77777777" w:rsidR="004014A1" w:rsidRDefault="00000000">
          <w:pPr>
            <w:pStyle w:val="TOC2"/>
          </w:pPr>
          <w:hyperlink w:anchor="_Toc239327055" w:tooltip="#_Toc239327055" w:history="1">
            <w:r>
              <w:rPr>
                <w:rStyle w:val="Hyperlink"/>
                <w:rFonts w:cstheme="minorHAnsi"/>
              </w:rPr>
              <w:t>Coordonnées du délégué à la protection des données personnelles :</w:t>
            </w:r>
            <w:r>
              <w:tab/>
            </w:r>
            <w:r>
              <w:fldChar w:fldCharType="begin"/>
            </w:r>
            <w:r>
              <w:instrText xml:space="preserve"> PAGEREF _Toc239327055 \h </w:instrText>
            </w:r>
            <w:r>
              <w:fldChar w:fldCharType="separate"/>
            </w:r>
            <w:r>
              <w:t>13</w:t>
            </w:r>
            <w:r>
              <w:fldChar w:fldCharType="end"/>
            </w:r>
          </w:hyperlink>
        </w:p>
        <w:p w14:paraId="6ABE6990"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56" w:tooltip="#_Toc239327056" w:history="1">
            <w:r>
              <w:rPr>
                <w:rStyle w:val="Hyperlink"/>
                <w:rFonts w:cstheme="minorHAnsi"/>
                <w:b/>
                <w:caps/>
              </w:rPr>
              <w:t>ARTICLE 8 :</w:t>
            </w:r>
            <w:r>
              <w:rPr>
                <w:rFonts w:asciiTheme="minorHAnsi" w:eastAsiaTheme="minorEastAsia" w:hAnsiTheme="minorHAnsi" w:cstheme="minorBidi"/>
                <w:sz w:val="22"/>
                <w:szCs w:val="22"/>
              </w:rPr>
              <w:tab/>
            </w:r>
            <w:r>
              <w:rPr>
                <w:rStyle w:val="Hyperlink"/>
                <w:rFonts w:cstheme="minorHAnsi"/>
                <w:b/>
                <w:caps/>
              </w:rPr>
              <w:t>AUTRES RENSEIGNEMENTS</w:t>
            </w:r>
            <w:r>
              <w:tab/>
            </w:r>
            <w:r>
              <w:fldChar w:fldCharType="begin"/>
            </w:r>
            <w:r>
              <w:instrText xml:space="preserve"> PAGEREF _Toc239327056 \h </w:instrText>
            </w:r>
            <w:r>
              <w:fldChar w:fldCharType="separate"/>
            </w:r>
            <w:r>
              <w:t>14</w:t>
            </w:r>
            <w:r>
              <w:fldChar w:fldCharType="end"/>
            </w:r>
          </w:hyperlink>
        </w:p>
        <w:p w14:paraId="25E49999" w14:textId="77777777" w:rsidR="004014A1" w:rsidRDefault="00000000">
          <w:pPr>
            <w:pStyle w:val="TOC1"/>
            <w:tabs>
              <w:tab w:val="left" w:pos="1540"/>
              <w:tab w:val="right" w:leader="dot" w:pos="9329"/>
            </w:tabs>
            <w:rPr>
              <w:rFonts w:asciiTheme="minorHAnsi" w:eastAsiaTheme="minorEastAsia" w:hAnsiTheme="minorHAnsi" w:cstheme="minorBidi"/>
              <w:sz w:val="22"/>
              <w:szCs w:val="22"/>
            </w:rPr>
          </w:pPr>
          <w:hyperlink w:anchor="_Toc239327057" w:tooltip="#_Toc239327057" w:history="1">
            <w:r>
              <w:rPr>
                <w:rStyle w:val="Hyperlink"/>
                <w:rFonts w:cstheme="minorHAnsi"/>
                <w:b/>
                <w:caps/>
              </w:rPr>
              <w:t>ARTICLE 9 :</w:t>
            </w:r>
            <w:r>
              <w:rPr>
                <w:rFonts w:asciiTheme="minorHAnsi" w:eastAsiaTheme="minorEastAsia" w:hAnsiTheme="minorHAnsi" w:cstheme="minorBidi"/>
                <w:sz w:val="22"/>
                <w:szCs w:val="22"/>
              </w:rPr>
              <w:tab/>
            </w:r>
            <w:r>
              <w:rPr>
                <w:rStyle w:val="Hyperlink"/>
                <w:rFonts w:cstheme="minorHAnsi"/>
                <w:b/>
                <w:caps/>
              </w:rPr>
              <w:t>Voies et délais de recours</w:t>
            </w:r>
            <w:r>
              <w:tab/>
            </w:r>
            <w:r>
              <w:fldChar w:fldCharType="begin"/>
            </w:r>
            <w:r>
              <w:instrText xml:space="preserve"> PAGEREF _Toc239327057 \h </w:instrText>
            </w:r>
            <w:r>
              <w:fldChar w:fldCharType="separate"/>
            </w:r>
            <w:r>
              <w:t>14</w:t>
            </w:r>
            <w:r>
              <w:fldChar w:fldCharType="end"/>
            </w:r>
          </w:hyperlink>
        </w:p>
        <w:p w14:paraId="4DE545B8" w14:textId="77777777" w:rsidR="004014A1" w:rsidRDefault="00000000">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6FB07417" w14:textId="77777777" w:rsidR="004014A1" w:rsidRDefault="004014A1">
      <w:pPr>
        <w:widowControl w:val="0"/>
        <w:jc w:val="right"/>
        <w:rPr>
          <w:rFonts w:asciiTheme="minorHAnsi" w:hAnsiTheme="minorHAnsi" w:cstheme="minorHAnsi"/>
          <w:b/>
          <w:sz w:val="22"/>
          <w:szCs w:val="22"/>
        </w:rPr>
        <w:sectPr w:rsidR="004014A1">
          <w:headerReference w:type="even" r:id="rId8"/>
          <w:headerReference w:type="default" r:id="rId9"/>
          <w:footerReference w:type="even" r:id="rId10"/>
          <w:footerReference w:type="default" r:id="rId11"/>
          <w:headerReference w:type="first" r:id="rId12"/>
          <w:footerReference w:type="first" r:id="rId13"/>
          <w:pgSz w:w="11906" w:h="16838"/>
          <w:pgMar w:top="902" w:right="1416" w:bottom="1616" w:left="1151" w:header="431" w:footer="567" w:gutter="0"/>
          <w:cols w:space="708"/>
          <w:titlePg/>
        </w:sectPr>
      </w:pPr>
    </w:p>
    <w:p w14:paraId="5F6284CC"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9327006"/>
      <w:r>
        <w:rPr>
          <w:rFonts w:asciiTheme="minorHAnsi" w:hAnsiTheme="minorHAnsi" w:cstheme="minorHAnsi"/>
          <w:b/>
          <w:caps/>
          <w:sz w:val="28"/>
          <w:szCs w:val="22"/>
          <w:u w:val="single"/>
        </w:rPr>
        <w:lastRenderedPageBreak/>
        <w:t>Objet et étendue de la consultation</w:t>
      </w:r>
      <w:bookmarkEnd w:id="2"/>
    </w:p>
    <w:p w14:paraId="618D7C6B"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9327007"/>
      <w:r>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BEB0DCF" w14:textId="77777777" w:rsidR="004014A1" w:rsidRDefault="00000000">
      <w:pPr>
        <w:pStyle w:val="u"/>
        <w:spacing w:before="120"/>
        <w:ind w:left="0"/>
        <w:rPr>
          <w:rFonts w:asciiTheme="minorHAnsi" w:hAnsiTheme="minorHAnsi" w:cstheme="minorHAnsi"/>
          <w:szCs w:val="22"/>
        </w:rPr>
      </w:pPr>
      <w:r>
        <w:rPr>
          <w:rFonts w:asciiTheme="minorHAnsi" w:hAnsiTheme="minorHAnsi" w:cstheme="minorHAnsi"/>
          <w:szCs w:val="22"/>
        </w:rPr>
        <w:t xml:space="preserve">La consultation porte sur la passation d’un contrat de service ayant pour objet « Audits énergétiques de 4 bâtiments municipaux de la Commune de </w:t>
      </w:r>
      <w:proofErr w:type="spellStart"/>
      <w:r>
        <w:rPr>
          <w:rFonts w:asciiTheme="minorHAnsi" w:hAnsiTheme="minorHAnsi" w:cstheme="minorHAnsi"/>
          <w:szCs w:val="22"/>
        </w:rPr>
        <w:t>Kloto</w:t>
      </w:r>
      <w:proofErr w:type="spellEnd"/>
      <w:r>
        <w:rPr>
          <w:rFonts w:asciiTheme="minorHAnsi" w:hAnsiTheme="minorHAnsi" w:cstheme="minorHAnsi"/>
          <w:szCs w:val="22"/>
        </w:rPr>
        <w:t xml:space="preserve"> </w:t>
      </w:r>
      <w:proofErr w:type="gramStart"/>
      <w:r>
        <w:rPr>
          <w:rFonts w:asciiTheme="minorHAnsi" w:hAnsiTheme="minorHAnsi" w:cstheme="minorHAnsi"/>
          <w:szCs w:val="22"/>
        </w:rPr>
        <w:t>1»</w:t>
      </w:r>
      <w:proofErr w:type="gramEnd"/>
      <w:r>
        <w:rPr>
          <w:rFonts w:asciiTheme="minorHAnsi" w:hAnsiTheme="minorHAnsi" w:cstheme="minorHAnsi"/>
          <w:szCs w:val="22"/>
        </w:rPr>
        <w:t>.</w:t>
      </w:r>
    </w:p>
    <w:p w14:paraId="537D781E"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L’étendue des besoins à couvrir sont décrits dans le Cahier de charges.</w:t>
      </w:r>
    </w:p>
    <w:p w14:paraId="0F760067"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12" w:name="_Toc239327008"/>
      <w:r>
        <w:rPr>
          <w:rFonts w:asciiTheme="minorHAnsi" w:hAnsiTheme="minorHAnsi" w:cstheme="minorHAnsi"/>
          <w:sz w:val="22"/>
          <w:szCs w:val="22"/>
          <w:u w:val="single"/>
        </w:rPr>
        <w:t>Etendue de la consultation</w:t>
      </w:r>
      <w:bookmarkEnd w:id="12"/>
    </w:p>
    <w:p w14:paraId="3CFA194E" w14:textId="77777777" w:rsidR="004014A1" w:rsidRDefault="00000000">
      <w:pPr>
        <w:pStyle w:val="u"/>
        <w:spacing w:before="120"/>
        <w:ind w:left="0"/>
        <w:rPr>
          <w:rFonts w:asciiTheme="minorHAnsi" w:hAnsiTheme="minorHAnsi" w:cstheme="minorHAnsi"/>
          <w:szCs w:val="22"/>
        </w:rPr>
      </w:pPr>
      <w:r>
        <w:rPr>
          <w:rFonts w:asciiTheme="minorHAnsi" w:hAnsiTheme="minorHAnsi" w:cstheme="minorHAnsi"/>
          <w:szCs w:val="22"/>
        </w:rPr>
        <w:t>Le présent contrat est soumis au Code de la commande publique (CCP)</w:t>
      </w:r>
      <w:r>
        <w:rPr>
          <w:rFonts w:asciiTheme="minorHAnsi" w:hAnsiTheme="minorHAnsi" w:cstheme="minorHAnsi"/>
        </w:rPr>
        <w:t xml:space="preserve"> </w:t>
      </w:r>
      <w:r>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61A98D6A" w14:textId="77777777" w:rsidR="004014A1" w:rsidRDefault="00000000">
      <w:pPr>
        <w:pBdr>
          <w:top w:val="none" w:sz="4" w:space="0" w:color="000000"/>
          <w:left w:val="none" w:sz="4" w:space="0" w:color="000000"/>
          <w:bottom w:val="none" w:sz="4" w:space="0" w:color="000000"/>
          <w:right w:val="none" w:sz="4" w:space="0" w:color="000000"/>
        </w:pBdr>
        <w:spacing w:before="120"/>
        <w:jc w:val="both"/>
      </w:pPr>
      <w:r>
        <w:rPr>
          <w:rFonts w:asciiTheme="minorHAnsi" w:hAnsiTheme="minorHAnsi" w:cstheme="minorHAnsi"/>
          <w:szCs w:val="22"/>
        </w:rPr>
        <w:t>Il est passé par</w:t>
      </w:r>
      <w:r>
        <w:rPr>
          <w:rFonts w:ascii="Calibri" w:eastAsia="Calibri" w:hAnsi="Calibri" w:cs="Calibri"/>
          <w:color w:val="000000"/>
          <w:sz w:val="22"/>
        </w:rPr>
        <w:t xml:space="preserve"> procédure adaptée en application des articles L. 2123-1 et R. 2123-1 au R. 2123-7 du CCP</w:t>
      </w:r>
    </w:p>
    <w:p w14:paraId="40A311AC" w14:textId="77777777" w:rsidR="004014A1" w:rsidRDefault="004014A1">
      <w:pPr>
        <w:pStyle w:val="u"/>
        <w:spacing w:before="120"/>
        <w:ind w:left="0"/>
        <w:rPr>
          <w:rFonts w:asciiTheme="minorHAnsi" w:hAnsiTheme="minorHAnsi" w:cstheme="minorHAnsi"/>
          <w:highlight w:val="yellow"/>
        </w:rPr>
      </w:pPr>
    </w:p>
    <w:p w14:paraId="4AE9B81E"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13" w:name="_Toc239327009"/>
      <w:r>
        <w:rPr>
          <w:rFonts w:asciiTheme="minorHAnsi" w:hAnsiTheme="minorHAnsi" w:cstheme="minorHAnsi"/>
          <w:sz w:val="22"/>
          <w:szCs w:val="22"/>
          <w:u w:val="single"/>
        </w:rPr>
        <w:t>Calendrier prévisionnel de la consultation</w:t>
      </w:r>
      <w:bookmarkEnd w:id="13"/>
      <w:r>
        <w:rPr>
          <w:rFonts w:asciiTheme="minorHAnsi" w:hAnsiTheme="minorHAnsi" w:cstheme="minorHAnsi"/>
          <w:sz w:val="22"/>
          <w:szCs w:val="22"/>
          <w:u w:val="single"/>
        </w:rPr>
        <w:t xml:space="preserve"> </w:t>
      </w:r>
    </w:p>
    <w:tbl>
      <w:tblPr>
        <w:tblStyle w:val="TableGrid"/>
        <w:tblW w:w="0" w:type="auto"/>
        <w:tblLook w:val="04A0" w:firstRow="1" w:lastRow="0" w:firstColumn="1" w:lastColumn="0" w:noHBand="0" w:noVBand="1"/>
      </w:tblPr>
      <w:tblGrid>
        <w:gridCol w:w="1696"/>
        <w:gridCol w:w="6237"/>
      </w:tblGrid>
      <w:tr w:rsidR="004014A1" w14:paraId="6F336CD7" w14:textId="77777777">
        <w:tc>
          <w:tcPr>
            <w:tcW w:w="1696" w:type="dxa"/>
            <w:tcBorders>
              <w:top w:val="single" w:sz="4" w:space="0" w:color="auto"/>
              <w:left w:val="single" w:sz="4" w:space="0" w:color="auto"/>
              <w:bottom w:val="single" w:sz="4" w:space="0" w:color="auto"/>
              <w:right w:val="single" w:sz="4" w:space="0" w:color="auto"/>
            </w:tcBorders>
          </w:tcPr>
          <w:p w14:paraId="03493F6D" w14:textId="77777777" w:rsidR="004014A1" w:rsidRDefault="00000000">
            <w:pPr>
              <w:spacing w:line="240" w:lineRule="auto"/>
              <w:jc w:val="center"/>
              <w:rPr>
                <w:rFonts w:asciiTheme="minorHAnsi" w:hAnsiTheme="minorHAnsi" w:cstheme="minorHAnsi"/>
                <w:b/>
                <w:sz w:val="22"/>
                <w:szCs w:val="22"/>
              </w:rPr>
            </w:pPr>
            <w:r>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tcPr>
          <w:p w14:paraId="2C12FAFC" w14:textId="77777777" w:rsidR="004014A1" w:rsidRDefault="00000000">
            <w:pPr>
              <w:spacing w:line="240" w:lineRule="auto"/>
              <w:jc w:val="both"/>
              <w:rPr>
                <w:rFonts w:asciiTheme="minorHAnsi" w:hAnsiTheme="minorHAnsi" w:cstheme="minorHAnsi"/>
                <w:b/>
                <w:sz w:val="22"/>
                <w:szCs w:val="22"/>
              </w:rPr>
            </w:pPr>
            <w:r>
              <w:rPr>
                <w:rFonts w:asciiTheme="minorHAnsi" w:hAnsiTheme="minorHAnsi" w:cstheme="minorHAnsi"/>
                <w:b/>
                <w:sz w:val="22"/>
                <w:szCs w:val="22"/>
              </w:rPr>
              <w:t>Etape</w:t>
            </w:r>
          </w:p>
        </w:tc>
      </w:tr>
      <w:tr w:rsidR="004014A1" w14:paraId="721DF5F1" w14:textId="77777777">
        <w:tc>
          <w:tcPr>
            <w:tcW w:w="1696" w:type="dxa"/>
            <w:tcBorders>
              <w:top w:val="single" w:sz="4" w:space="0" w:color="auto"/>
              <w:left w:val="single" w:sz="4" w:space="0" w:color="auto"/>
              <w:bottom w:val="single" w:sz="4" w:space="0" w:color="auto"/>
              <w:right w:val="single" w:sz="4" w:space="0" w:color="auto"/>
            </w:tcBorders>
          </w:tcPr>
          <w:p w14:paraId="22E3560A" w14:textId="508AD61F" w:rsidR="004014A1" w:rsidRDefault="00433F3C">
            <w:pPr>
              <w:spacing w:line="240" w:lineRule="auto"/>
              <w:jc w:val="center"/>
              <w:rPr>
                <w:rFonts w:asciiTheme="minorHAnsi" w:hAnsiTheme="minorHAnsi" w:cstheme="minorHAnsi"/>
                <w:sz w:val="22"/>
                <w:szCs w:val="22"/>
              </w:rPr>
            </w:pPr>
            <w:r>
              <w:rPr>
                <w:rFonts w:asciiTheme="minorHAnsi" w:hAnsiTheme="minorHAnsi" w:cstheme="minorHAnsi"/>
                <w:sz w:val="22"/>
                <w:szCs w:val="22"/>
              </w:rPr>
              <w:t>13</w:t>
            </w:r>
            <w:r w:rsidR="00000000">
              <w:rPr>
                <w:rFonts w:asciiTheme="minorHAnsi" w:hAnsiTheme="minorHAnsi" w:cstheme="minorHAnsi"/>
                <w:sz w:val="22"/>
                <w:szCs w:val="22"/>
              </w:rPr>
              <w:t>/</w:t>
            </w:r>
            <w:r>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tcPr>
          <w:p w14:paraId="066880B3"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Date limite de réception des offres</w:t>
            </w:r>
          </w:p>
        </w:tc>
      </w:tr>
      <w:tr w:rsidR="004014A1" w14:paraId="154CC72F" w14:textId="77777777">
        <w:tc>
          <w:tcPr>
            <w:tcW w:w="1696" w:type="dxa"/>
            <w:tcBorders>
              <w:top w:val="single" w:sz="4" w:space="0" w:color="auto"/>
              <w:left w:val="single" w:sz="4" w:space="0" w:color="auto"/>
              <w:bottom w:val="single" w:sz="4" w:space="0" w:color="auto"/>
              <w:right w:val="single" w:sz="4" w:space="0" w:color="auto"/>
            </w:tcBorders>
          </w:tcPr>
          <w:p w14:paraId="0271111F" w14:textId="16B7303F" w:rsidR="004014A1" w:rsidRDefault="00433F3C">
            <w:pPr>
              <w:spacing w:line="240" w:lineRule="auto"/>
              <w:jc w:val="center"/>
              <w:rPr>
                <w:rFonts w:asciiTheme="minorHAnsi" w:hAnsiTheme="minorHAnsi" w:cstheme="minorHAnsi"/>
                <w:sz w:val="22"/>
                <w:szCs w:val="22"/>
              </w:rPr>
            </w:pPr>
            <w:r>
              <w:rPr>
                <w:rFonts w:asciiTheme="minorHAnsi" w:hAnsiTheme="minorHAnsi" w:cstheme="minorHAnsi"/>
                <w:sz w:val="22"/>
                <w:szCs w:val="22"/>
              </w:rPr>
              <w:t>19</w:t>
            </w:r>
            <w:r w:rsidR="00000000">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tcPr>
          <w:p w14:paraId="46AA7B66"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Audition / Négociation des offres et demandes d’offres optimisées</w:t>
            </w:r>
          </w:p>
        </w:tc>
      </w:tr>
      <w:tr w:rsidR="004014A1" w14:paraId="67376C82" w14:textId="77777777">
        <w:trPr>
          <w:trHeight w:val="287"/>
        </w:trPr>
        <w:tc>
          <w:tcPr>
            <w:tcW w:w="1696" w:type="dxa"/>
            <w:tcBorders>
              <w:top w:val="single" w:sz="4" w:space="0" w:color="auto"/>
              <w:left w:val="single" w:sz="4" w:space="0" w:color="auto"/>
              <w:bottom w:val="single" w:sz="4" w:space="0" w:color="auto"/>
              <w:right w:val="single" w:sz="4" w:space="0" w:color="auto"/>
            </w:tcBorders>
          </w:tcPr>
          <w:p w14:paraId="3D82195C" w14:textId="77DB8CAD" w:rsidR="004014A1" w:rsidRDefault="00433F3C">
            <w:pPr>
              <w:spacing w:line="240" w:lineRule="auto"/>
              <w:jc w:val="center"/>
              <w:rPr>
                <w:rFonts w:asciiTheme="minorHAnsi" w:hAnsiTheme="minorHAnsi" w:cstheme="minorHAnsi"/>
                <w:sz w:val="22"/>
                <w:szCs w:val="22"/>
              </w:rPr>
            </w:pPr>
            <w:r>
              <w:rPr>
                <w:rFonts w:asciiTheme="minorHAnsi" w:hAnsiTheme="minorHAnsi" w:cstheme="minorHAnsi"/>
                <w:sz w:val="22"/>
                <w:szCs w:val="22"/>
              </w:rPr>
              <w:t>21</w:t>
            </w:r>
            <w:r w:rsidR="00000000">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tcPr>
          <w:p w14:paraId="4313BC9B"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Date limite de réception des offres optimisées</w:t>
            </w:r>
          </w:p>
        </w:tc>
      </w:tr>
      <w:tr w:rsidR="004014A1" w14:paraId="44E17DCC" w14:textId="77777777">
        <w:tc>
          <w:tcPr>
            <w:tcW w:w="1696" w:type="dxa"/>
            <w:tcBorders>
              <w:top w:val="single" w:sz="4" w:space="0" w:color="auto"/>
              <w:left w:val="single" w:sz="4" w:space="0" w:color="auto"/>
              <w:bottom w:val="single" w:sz="4" w:space="0" w:color="auto"/>
              <w:right w:val="single" w:sz="4" w:space="0" w:color="auto"/>
            </w:tcBorders>
          </w:tcPr>
          <w:p w14:paraId="544AAE23" w14:textId="5192F1D2" w:rsidR="004014A1" w:rsidRDefault="00433F3C">
            <w:pPr>
              <w:spacing w:line="240" w:lineRule="auto"/>
              <w:jc w:val="center"/>
              <w:rPr>
                <w:rFonts w:asciiTheme="minorHAnsi" w:hAnsiTheme="minorHAnsi" w:cstheme="minorHAnsi"/>
                <w:sz w:val="22"/>
                <w:szCs w:val="22"/>
              </w:rPr>
            </w:pPr>
            <w:r>
              <w:rPr>
                <w:rFonts w:asciiTheme="minorHAnsi" w:hAnsiTheme="minorHAnsi" w:cstheme="minorHAnsi"/>
                <w:sz w:val="22"/>
                <w:szCs w:val="22"/>
              </w:rPr>
              <w:t>23</w:t>
            </w:r>
            <w:r w:rsidR="00000000">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tcPr>
          <w:p w14:paraId="500758AB" w14:textId="77777777" w:rsidR="004014A1" w:rsidRDefault="00000000">
            <w:pPr>
              <w:spacing w:line="240" w:lineRule="auto"/>
              <w:rPr>
                <w:rFonts w:asciiTheme="minorHAnsi" w:hAnsiTheme="minorHAnsi" w:cstheme="minorHAnsi"/>
                <w:sz w:val="22"/>
                <w:szCs w:val="22"/>
              </w:rPr>
            </w:pPr>
            <w:r>
              <w:rPr>
                <w:rFonts w:asciiTheme="minorHAnsi" w:hAnsiTheme="minorHAnsi" w:cstheme="minorHAnsi"/>
                <w:sz w:val="22"/>
                <w:szCs w:val="22"/>
              </w:rPr>
              <w:t>Envoi des courriers de rejet aux candidats non retenus</w:t>
            </w:r>
          </w:p>
        </w:tc>
      </w:tr>
      <w:tr w:rsidR="004014A1" w14:paraId="4E782571" w14:textId="77777777">
        <w:tc>
          <w:tcPr>
            <w:tcW w:w="1696" w:type="dxa"/>
            <w:tcBorders>
              <w:top w:val="single" w:sz="4" w:space="0" w:color="auto"/>
              <w:left w:val="single" w:sz="4" w:space="0" w:color="auto"/>
              <w:bottom w:val="single" w:sz="4" w:space="0" w:color="auto"/>
              <w:right w:val="single" w:sz="4" w:space="0" w:color="auto"/>
            </w:tcBorders>
          </w:tcPr>
          <w:p w14:paraId="19A3E79C" w14:textId="125EB603" w:rsidR="004014A1" w:rsidRDefault="00433F3C">
            <w:pPr>
              <w:spacing w:line="240" w:lineRule="auto"/>
              <w:jc w:val="center"/>
              <w:rPr>
                <w:rFonts w:asciiTheme="minorHAnsi" w:hAnsiTheme="minorHAnsi" w:cstheme="minorHAnsi"/>
                <w:sz w:val="22"/>
                <w:szCs w:val="22"/>
              </w:rPr>
            </w:pPr>
            <w:r>
              <w:rPr>
                <w:rFonts w:asciiTheme="minorHAnsi" w:hAnsiTheme="minorHAnsi" w:cstheme="minorHAnsi"/>
                <w:sz w:val="22"/>
                <w:szCs w:val="22"/>
              </w:rPr>
              <w:t>23</w:t>
            </w:r>
            <w:r w:rsidR="00000000">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tcPr>
          <w:p w14:paraId="3FF8FFBF"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Notification du marché</w:t>
            </w:r>
          </w:p>
        </w:tc>
      </w:tr>
    </w:tbl>
    <w:p w14:paraId="72413ED5"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14" w:name="_Toc239327010"/>
      <w:r>
        <w:rPr>
          <w:rFonts w:asciiTheme="minorHAnsi" w:hAnsiTheme="minorHAnsi" w:cstheme="minorHAnsi"/>
          <w:sz w:val="22"/>
          <w:szCs w:val="22"/>
          <w:u w:val="single"/>
        </w:rPr>
        <w:t>Langue de la consultation – unité monétaire</w:t>
      </w:r>
      <w:bookmarkEnd w:id="14"/>
    </w:p>
    <w:p w14:paraId="4C1468F7"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L’ensemble des documents de la présente consultation doivent être rédigés en langue française. </w:t>
      </w:r>
    </w:p>
    <w:p w14:paraId="460BA1AC"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conclura les marchés dans l’unité monétaire suivante : euro (€).</w:t>
      </w:r>
    </w:p>
    <w:p w14:paraId="47462A70" w14:textId="77777777" w:rsidR="004014A1" w:rsidRDefault="004014A1">
      <w:pPr>
        <w:spacing w:before="120" w:line="240" w:lineRule="auto"/>
        <w:jc w:val="both"/>
        <w:rPr>
          <w:rFonts w:asciiTheme="minorHAnsi" w:hAnsiTheme="minorHAnsi" w:cstheme="minorHAnsi"/>
          <w:sz w:val="22"/>
          <w:szCs w:val="22"/>
        </w:rPr>
      </w:pPr>
    </w:p>
    <w:p w14:paraId="69D6D431"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15" w:name="_Toc239327011"/>
      <w:r>
        <w:rPr>
          <w:rFonts w:asciiTheme="minorHAnsi" w:hAnsiTheme="minorHAnsi" w:cstheme="minorHAnsi"/>
          <w:sz w:val="22"/>
          <w:szCs w:val="22"/>
          <w:u w:val="single"/>
        </w:rPr>
        <w:t>Composition du dossier de consultation</w:t>
      </w:r>
      <w:bookmarkEnd w:id="15"/>
    </w:p>
    <w:p w14:paraId="71973CE8"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dossier de consultation est composé des documents suivants :</w:t>
      </w:r>
    </w:p>
    <w:p w14:paraId="520879B4" w14:textId="77777777" w:rsidR="004014A1" w:rsidRDefault="00000000">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présent Règlement de la consultation (R.C.)</w:t>
      </w:r>
    </w:p>
    <w:p w14:paraId="2A31DE1C" w14:textId="77777777" w:rsidR="004014A1" w:rsidRDefault="00000000">
      <w:pPr>
        <w:pStyle w:val="ListParagraph"/>
        <w:numPr>
          <w:ilvl w:val="0"/>
          <w:numId w:val="7"/>
        </w:numPr>
        <w:spacing w:line="240" w:lineRule="auto"/>
        <w:ind w:left="714" w:hanging="357"/>
        <w:jc w:val="both"/>
        <w:rPr>
          <w:rFonts w:asciiTheme="minorHAnsi" w:hAnsiTheme="minorHAnsi" w:cstheme="minorHAnsi"/>
          <w:szCs w:val="22"/>
        </w:rPr>
      </w:pPr>
      <w:r>
        <w:rPr>
          <w:rFonts w:asciiTheme="minorHAnsi" w:hAnsiTheme="minorHAnsi" w:cstheme="minorHAnsi"/>
          <w:color w:val="000000"/>
          <w:sz w:val="22"/>
          <w:szCs w:val="22"/>
        </w:rPr>
        <w:t>Le projet de contrat (conditions particulières et conditions générales) et ses éventuelles annexes ;</w:t>
      </w:r>
      <w:r>
        <w:rPr>
          <w:rFonts w:asciiTheme="minorHAnsi" w:hAnsiTheme="minorHAnsi" w:cstheme="minorHAnsi"/>
          <w:szCs w:val="22"/>
        </w:rPr>
        <w:t xml:space="preserve"> </w:t>
      </w:r>
    </w:p>
    <w:p w14:paraId="5622AB57" w14:textId="77777777" w:rsidR="004014A1" w:rsidRDefault="00000000">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cahier des charges et ses éventuelles annexes ;</w:t>
      </w:r>
    </w:p>
    <w:p w14:paraId="0B141A46" w14:textId="77777777" w:rsidR="004014A1" w:rsidRDefault="00000000">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formulaire de candidature comprenant la déclaration sur l'honneur relative aux critères d'exclusion, à l'absence de conflit d'intérêt et la fiche d’identité tiers ;</w:t>
      </w:r>
    </w:p>
    <w:p w14:paraId="1D40B7F6" w14:textId="77777777" w:rsidR="004014A1" w:rsidRDefault="00000000">
      <w:pPr>
        <w:pStyle w:val="v"/>
        <w:widowControl w:val="0"/>
        <w:numPr>
          <w:ilvl w:val="0"/>
          <w:numId w:val="7"/>
        </w:numPr>
        <w:rPr>
          <w:rFonts w:asciiTheme="minorHAnsi" w:hAnsiTheme="minorHAnsi" w:cstheme="minorHAnsi"/>
        </w:rPr>
      </w:pPr>
      <w:r>
        <w:rPr>
          <w:rFonts w:ascii="Calibri" w:eastAsia="Calibri" w:hAnsi="Calibri" w:cs="Calibri"/>
          <w:color w:val="000000"/>
          <w:sz w:val="20"/>
        </w:rPr>
        <w:t>Le formulaire de vérification de conformité au RGPD du candidat </w:t>
      </w:r>
    </w:p>
    <w:p w14:paraId="56DE2B9D" w14:textId="77777777" w:rsidR="004014A1" w:rsidRDefault="00000000">
      <w:pPr>
        <w:pStyle w:val="v"/>
        <w:widowControl w:val="0"/>
        <w:numPr>
          <w:ilvl w:val="0"/>
          <w:numId w:val="7"/>
        </w:numPr>
        <w:rPr>
          <w:rFonts w:asciiTheme="minorHAnsi" w:hAnsiTheme="minorHAnsi" w:cstheme="minorHAnsi"/>
          <w:szCs w:val="22"/>
        </w:rPr>
      </w:pPr>
      <w:r>
        <w:rPr>
          <w:rFonts w:asciiTheme="minorHAnsi" w:hAnsiTheme="minorHAnsi" w:cstheme="minorHAnsi"/>
          <w:szCs w:val="22"/>
        </w:rPr>
        <w:t>DAJ_GU006_v01 - Guide utilisation PLACE pour les entreprises.</w:t>
      </w:r>
    </w:p>
    <w:p w14:paraId="243BF84F" w14:textId="77777777" w:rsidR="004014A1" w:rsidRDefault="00000000">
      <w:pPr>
        <w:pStyle w:val="v"/>
        <w:widowControl w:val="0"/>
        <w:numPr>
          <w:ilvl w:val="0"/>
          <w:numId w:val="7"/>
        </w:numPr>
        <w:rPr>
          <w:rFonts w:asciiTheme="minorHAnsi" w:hAnsiTheme="minorHAnsi" w:cstheme="minorHAnsi"/>
        </w:rPr>
      </w:pPr>
      <w:r>
        <w:rPr>
          <w:rFonts w:asciiTheme="minorHAnsi" w:hAnsiTheme="minorHAnsi" w:cstheme="minorHAnsi"/>
        </w:rPr>
        <w:t>CI_F010_Déclaration des bénéficiaires effectifs</w:t>
      </w:r>
    </w:p>
    <w:p w14:paraId="2BB1B31C" w14:textId="77777777" w:rsidR="004014A1" w:rsidRDefault="004014A1">
      <w:pPr>
        <w:pStyle w:val="v"/>
        <w:widowControl w:val="0"/>
        <w:rPr>
          <w:rFonts w:asciiTheme="minorHAnsi" w:hAnsiTheme="minorHAnsi" w:cstheme="minorHAnsi"/>
          <w:szCs w:val="22"/>
        </w:rPr>
      </w:pPr>
    </w:p>
    <w:p w14:paraId="5B310CCA" w14:textId="77777777" w:rsidR="004014A1" w:rsidRDefault="00000000">
      <w:pPr>
        <w:pStyle w:val="v"/>
        <w:widowControl w:val="0"/>
        <w:rPr>
          <w:rFonts w:asciiTheme="minorHAnsi" w:hAnsiTheme="minorHAnsi" w:cstheme="minorHAnsi"/>
          <w:szCs w:val="22"/>
        </w:rPr>
      </w:pPr>
      <w:r>
        <w:rPr>
          <w:rFonts w:asciiTheme="minorHAnsi" w:hAnsiTheme="minorHAnsi" w:cstheme="minorHAnsi"/>
          <w:szCs w:val="22"/>
        </w:rPr>
        <w:t>Pièces complémentaires au dossier de consultation :</w:t>
      </w:r>
    </w:p>
    <w:p w14:paraId="03C49680" w14:textId="77777777" w:rsidR="004014A1" w:rsidRDefault="00000000">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cadre de décomposition du prix global et forfaitaire.</w:t>
      </w:r>
    </w:p>
    <w:p w14:paraId="27CE5C4E"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16" w:name="_Toc239327012"/>
      <w:r>
        <w:rPr>
          <w:rFonts w:asciiTheme="minorHAnsi" w:hAnsiTheme="minorHAnsi" w:cstheme="minorHAnsi"/>
          <w:sz w:val="22"/>
          <w:szCs w:val="22"/>
          <w:u w:val="single"/>
        </w:rPr>
        <w:t>Modification du dossier de consultation</w:t>
      </w:r>
      <w:bookmarkEnd w:id="16"/>
    </w:p>
    <w:p w14:paraId="32B7F1D5"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Des modifications peuvent être apportées aux documents de la consultation au plus tard 4 jours avant la date limite de réception des plis</w:t>
      </w:r>
    </w:p>
    <w:p w14:paraId="55C53585"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modifications sont communiquées aux seuls opérateurs économiques dûment identifiés lors du retrait des documents de la consultation.</w:t>
      </w:r>
    </w:p>
    <w:p w14:paraId="09A3118D" w14:textId="77777777" w:rsidR="004014A1" w:rsidRDefault="004014A1">
      <w:pPr>
        <w:spacing w:before="120" w:line="240" w:lineRule="auto"/>
        <w:jc w:val="both"/>
        <w:rPr>
          <w:rFonts w:asciiTheme="minorHAnsi" w:hAnsiTheme="minorHAnsi" w:cstheme="minorHAnsi"/>
          <w:sz w:val="22"/>
          <w:szCs w:val="22"/>
        </w:rPr>
      </w:pPr>
    </w:p>
    <w:p w14:paraId="4FE506B8" w14:textId="77777777" w:rsidR="004014A1" w:rsidRDefault="00000000">
      <w:pPr>
        <w:spacing w:line="240" w:lineRule="auto"/>
        <w:rPr>
          <w:rFonts w:asciiTheme="minorHAnsi" w:hAnsiTheme="minorHAnsi" w:cstheme="minorHAnsi"/>
          <w:b/>
          <w:caps/>
          <w:sz w:val="28"/>
          <w:szCs w:val="22"/>
          <w:u w:val="single"/>
        </w:rPr>
      </w:pPr>
      <w:r>
        <w:rPr>
          <w:rFonts w:asciiTheme="minorHAnsi" w:hAnsiTheme="minorHAnsi" w:cstheme="minorHAnsi"/>
          <w:sz w:val="22"/>
          <w:szCs w:val="22"/>
        </w:rPr>
        <w:t xml:space="preserve">Les candidats/soumissionnaires devront répondre sur la base du dernier dossier modifié. Dans le cas où un candidat/soumissionnaire aurait remis une candidature et/ou une offre avant les modifications, il pourra en </w:t>
      </w:r>
      <w:r>
        <w:rPr>
          <w:rFonts w:asciiTheme="minorHAnsi" w:hAnsiTheme="minorHAnsi" w:cstheme="minorHAnsi"/>
          <w:sz w:val="22"/>
          <w:szCs w:val="22"/>
        </w:rPr>
        <w:lastRenderedPageBreak/>
        <w:t>remettre une nouvelle sur la base du dernier dossier modifié, avant la date et heure limites de réception des plis.</w:t>
      </w:r>
    </w:p>
    <w:p w14:paraId="203F9909"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39327013"/>
      <w:r>
        <w:rPr>
          <w:rFonts w:asciiTheme="minorHAnsi" w:hAnsiTheme="minorHAnsi" w:cstheme="minorHAnsi"/>
          <w:b/>
          <w:caps/>
          <w:sz w:val="28"/>
          <w:szCs w:val="22"/>
          <w:u w:val="single"/>
        </w:rPr>
        <w:t>Caracteristiques GENERALES du projet de contrat</w:t>
      </w:r>
      <w:bookmarkEnd w:id="17"/>
    </w:p>
    <w:p w14:paraId="42DEC017"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18" w:name="_Toc239327014"/>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rPr>
        <w:t>Forme du contrat</w:t>
      </w:r>
      <w:bookmarkEnd w:id="18"/>
    </w:p>
    <w:p w14:paraId="767C19AE" w14:textId="77777777" w:rsidR="004014A1" w:rsidRDefault="00000000">
      <w:pPr>
        <w:spacing w:line="240" w:lineRule="auto"/>
        <w:rPr>
          <w:rFonts w:asciiTheme="minorHAnsi" w:hAnsiTheme="minorHAnsi" w:cstheme="minorHAnsi"/>
          <w:sz w:val="22"/>
          <w:szCs w:val="22"/>
        </w:rPr>
      </w:pPr>
      <w:r>
        <w:rPr>
          <w:rFonts w:asciiTheme="minorHAnsi" w:hAnsiTheme="minorHAnsi" w:cstheme="minorHAnsi"/>
          <w:sz w:val="22"/>
          <w:szCs w:val="22"/>
        </w:rPr>
        <w:t>Le contrat est un marché public composé d’un poste unique à prix forfaitaire. Il est conclu avec un seul opérateur.</w:t>
      </w:r>
    </w:p>
    <w:p w14:paraId="11F2148F"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28" w:name="_Toc239327015"/>
      <w:r>
        <w:rPr>
          <w:rFonts w:asciiTheme="minorHAnsi" w:hAnsiTheme="minorHAnsi" w:cstheme="minorHAnsi"/>
          <w:sz w:val="22"/>
          <w:szCs w:val="22"/>
          <w:u w:val="single"/>
        </w:rPr>
        <w:t>Montant estimatif du besoin</w:t>
      </w:r>
      <w:bookmarkEnd w:id="19"/>
      <w:bookmarkEnd w:id="20"/>
      <w:bookmarkEnd w:id="21"/>
      <w:bookmarkEnd w:id="22"/>
      <w:bookmarkEnd w:id="28"/>
    </w:p>
    <w:p w14:paraId="0F0B7E9B"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Le montant prévisionnel du contrat est fixé à 50 000 € maximum. </w:t>
      </w:r>
    </w:p>
    <w:p w14:paraId="4704ACD1"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29" w:name="_Toc239327016"/>
      <w:r>
        <w:rPr>
          <w:rFonts w:asciiTheme="minorHAnsi" w:hAnsiTheme="minorHAnsi" w:cstheme="minorHAnsi"/>
          <w:sz w:val="22"/>
          <w:szCs w:val="22"/>
          <w:u w:val="single"/>
        </w:rPr>
        <w:t>Durée du contrat</w:t>
      </w:r>
      <w:bookmarkEnd w:id="29"/>
    </w:p>
    <w:p w14:paraId="1966A3B9"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La durée prévisionnelle du contrat est fixée à 6 mois à compter de sa date de notification. A titre indicatif, la date prévisionnelle de notification est le 13/10/2026.</w:t>
      </w:r>
    </w:p>
    <w:p w14:paraId="11A3A2DD" w14:textId="77777777" w:rsidR="004014A1" w:rsidRDefault="004014A1">
      <w:pPr>
        <w:spacing w:line="240" w:lineRule="auto"/>
        <w:jc w:val="both"/>
        <w:rPr>
          <w:rFonts w:asciiTheme="minorHAnsi" w:hAnsiTheme="minorHAnsi" w:cstheme="minorHAnsi"/>
          <w:sz w:val="22"/>
          <w:szCs w:val="22"/>
        </w:rPr>
      </w:pPr>
      <w:bookmarkStart w:id="30" w:name="_Toc417653425"/>
      <w:bookmarkStart w:id="31" w:name="_Toc419212441"/>
      <w:bookmarkStart w:id="32" w:name="_Toc443657775"/>
      <w:bookmarkStart w:id="33" w:name="_Toc446628694"/>
      <w:bookmarkEnd w:id="23"/>
      <w:bookmarkEnd w:id="24"/>
      <w:bookmarkEnd w:id="25"/>
      <w:bookmarkEnd w:id="26"/>
      <w:bookmarkEnd w:id="27"/>
    </w:p>
    <w:p w14:paraId="4DABA3AB"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34" w:name="_Toc239327017"/>
      <w:r>
        <w:rPr>
          <w:rFonts w:asciiTheme="minorHAnsi" w:hAnsiTheme="minorHAnsi" w:cstheme="minorHAnsi"/>
          <w:sz w:val="22"/>
          <w:szCs w:val="22"/>
          <w:u w:val="single"/>
        </w:rPr>
        <w:t>Options</w:t>
      </w:r>
      <w:bookmarkEnd w:id="34"/>
    </w:p>
    <w:p w14:paraId="4CB2B77A"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35" w:name="_Toc239327018"/>
      <w:r>
        <w:rPr>
          <w:rFonts w:asciiTheme="minorHAnsi" w:hAnsiTheme="minorHAnsi" w:cstheme="minorHAnsi"/>
          <w:i/>
          <w:sz w:val="22"/>
          <w:szCs w:val="22"/>
        </w:rPr>
        <w:t>Prestations similaires</w:t>
      </w:r>
      <w:bookmarkEnd w:id="35"/>
    </w:p>
    <w:p w14:paraId="7F35B3C9" w14:textId="77777777" w:rsidR="004014A1" w:rsidRDefault="00000000">
      <w:pPr>
        <w:jc w:val="both"/>
        <w:rPr>
          <w:rFonts w:asciiTheme="minorHAnsi" w:hAnsiTheme="minorHAnsi" w:cstheme="minorHAnsi"/>
          <w:bCs/>
          <w:iCs/>
          <w:sz w:val="22"/>
          <w:szCs w:val="22"/>
        </w:rPr>
      </w:pPr>
      <w:r>
        <w:rPr>
          <w:rFonts w:asciiTheme="minorHAnsi" w:hAnsiTheme="minorHAnsi" w:cstheme="minorHAnsi"/>
          <w:bCs/>
          <w:iCs/>
          <w:sz w:val="22"/>
          <w:szCs w:val="22"/>
        </w:rPr>
        <w:t>En application de l’article R.2122-7 du code de la commande publique,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4A3F1882" w14:textId="77777777" w:rsidR="004014A1" w:rsidRDefault="004014A1">
      <w:pPr>
        <w:pStyle w:val="v"/>
        <w:widowControl w:val="0"/>
        <w:ind w:left="0" w:firstLine="0"/>
        <w:rPr>
          <w:rFonts w:asciiTheme="minorHAnsi" w:hAnsiTheme="minorHAnsi" w:cstheme="minorHAnsi"/>
          <w:szCs w:val="22"/>
        </w:rPr>
      </w:pPr>
      <w:bookmarkStart w:id="36" w:name="_Toc491193961"/>
      <w:bookmarkEnd w:id="36"/>
    </w:p>
    <w:p w14:paraId="719C220B"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37" w:name="_Toc239327019"/>
      <w:r>
        <w:rPr>
          <w:rFonts w:asciiTheme="minorHAnsi" w:hAnsiTheme="minorHAnsi" w:cstheme="minorHAnsi"/>
          <w:i/>
          <w:sz w:val="22"/>
          <w:szCs w:val="22"/>
        </w:rPr>
        <w:t>Reconductions</w:t>
      </w:r>
      <w:bookmarkEnd w:id="37"/>
    </w:p>
    <w:p w14:paraId="0DD2F2A4"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Le contrat est conclu pour une durée initiale de 6 mois à compter de sa notification. Il est reconductible 1 fois par décision tacite, pour une durée maximale de 4 mois, prise par l’autorité contractante sans pouvoir excéder une durée totale de 10 mois. </w:t>
      </w:r>
    </w:p>
    <w:p w14:paraId="70B32DC1" w14:textId="77777777" w:rsidR="004014A1" w:rsidRDefault="004014A1"/>
    <w:p w14:paraId="24EF3D73"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8" w:name="_Toc239327020"/>
      <w:bookmarkEnd w:id="30"/>
      <w:bookmarkEnd w:id="31"/>
      <w:bookmarkEnd w:id="32"/>
      <w:bookmarkEnd w:id="33"/>
      <w:r>
        <w:rPr>
          <w:rFonts w:asciiTheme="minorHAnsi" w:hAnsiTheme="minorHAnsi" w:cstheme="minorHAnsi"/>
          <w:b/>
          <w:caps/>
          <w:sz w:val="28"/>
          <w:szCs w:val="22"/>
          <w:u w:val="single"/>
        </w:rPr>
        <w:t>Conditions de participation de candidats</w:t>
      </w:r>
      <w:bookmarkEnd w:id="38"/>
    </w:p>
    <w:p w14:paraId="091533D5"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39" w:name="_Toc239327021"/>
      <w:r>
        <w:rPr>
          <w:rFonts w:asciiTheme="minorHAnsi" w:hAnsiTheme="minorHAnsi" w:cstheme="minorHAnsi"/>
          <w:sz w:val="22"/>
          <w:szCs w:val="22"/>
          <w:u w:val="single"/>
        </w:rPr>
        <w:t>Conditions de présentation des candidatures</w:t>
      </w:r>
      <w:bookmarkEnd w:id="39"/>
    </w:p>
    <w:p w14:paraId="0D7217B2" w14:textId="77777777" w:rsidR="004014A1" w:rsidRDefault="00000000">
      <w:pPr>
        <w:pStyle w:val="Standard"/>
        <w:rPr>
          <w:rFonts w:asciiTheme="minorHAnsi" w:hAnsiTheme="minorHAnsi" w:cstheme="minorHAnsi"/>
          <w:bCs/>
          <w:iCs/>
          <w:sz w:val="22"/>
          <w:szCs w:val="22"/>
          <w:lang w:bidi="ar-SA"/>
        </w:rPr>
      </w:pPr>
      <w:r>
        <w:rPr>
          <w:rFonts w:asciiTheme="minorHAnsi" w:eastAsia="Times" w:hAnsiTheme="minorHAnsi" w:cstheme="minorHAnsi"/>
          <w:bCs/>
          <w:iCs/>
          <w:sz w:val="22"/>
          <w:szCs w:val="22"/>
          <w:lang w:eastAsia="fr-FR" w:bidi="ar-SA"/>
        </w:rPr>
        <w:t>Une même personne ne peut représenter plus d'un candidat pour un même marché (article R. 2142-4 du code de la commande publique).</w:t>
      </w:r>
      <w:r>
        <w:rPr>
          <w:rFonts w:asciiTheme="minorHAnsi" w:hAnsiTheme="minorHAnsi" w:cstheme="minorHAnsi"/>
          <w:bCs/>
          <w:iCs/>
          <w:sz w:val="22"/>
          <w:szCs w:val="22"/>
          <w:lang w:bidi="ar-SA"/>
        </w:rPr>
        <w:t xml:space="preserve"> Mais dans le cadre de la consultation, le pouvoir adjudicateur autorise le candidat à présenter plusieurs offres en agissant à la fois :</w:t>
      </w:r>
    </w:p>
    <w:p w14:paraId="6D03CCAC" w14:textId="77777777" w:rsidR="004014A1" w:rsidRDefault="00000000">
      <w:pPr>
        <w:pStyle w:val="Standard"/>
        <w:numPr>
          <w:ilvl w:val="0"/>
          <w:numId w:val="35"/>
        </w:numPr>
        <w:rPr>
          <w:rFonts w:asciiTheme="minorHAnsi" w:hAnsiTheme="minorHAnsi" w:cstheme="minorHAnsi"/>
          <w:bCs/>
          <w:iCs/>
          <w:sz w:val="22"/>
          <w:szCs w:val="22"/>
          <w:lang w:bidi="ar-SA"/>
        </w:rPr>
      </w:pPr>
      <w:proofErr w:type="gramStart"/>
      <w:r>
        <w:rPr>
          <w:rFonts w:asciiTheme="minorHAnsi" w:hAnsiTheme="minorHAnsi" w:cstheme="minorHAnsi"/>
          <w:bCs/>
          <w:iCs/>
          <w:sz w:val="22"/>
          <w:szCs w:val="22"/>
          <w:lang w:bidi="ar-SA"/>
        </w:rPr>
        <w:t>en</w:t>
      </w:r>
      <w:proofErr w:type="gramEnd"/>
      <w:r>
        <w:rPr>
          <w:rFonts w:asciiTheme="minorHAnsi" w:hAnsiTheme="minorHAnsi" w:cstheme="minorHAnsi"/>
          <w:bCs/>
          <w:iCs/>
          <w:sz w:val="22"/>
          <w:szCs w:val="22"/>
          <w:lang w:bidi="ar-SA"/>
        </w:rPr>
        <w:t xml:space="preserve"> qualité de candidat individuel et de membre d'un ou plusieurs groupements d'opérateurs économiques;</w:t>
      </w:r>
    </w:p>
    <w:p w14:paraId="45CFC77D" w14:textId="77777777" w:rsidR="004014A1" w:rsidRDefault="00000000">
      <w:pPr>
        <w:pStyle w:val="Standard"/>
        <w:numPr>
          <w:ilvl w:val="0"/>
          <w:numId w:val="35"/>
        </w:numPr>
        <w:rPr>
          <w:rFonts w:asciiTheme="minorHAnsi" w:hAnsiTheme="minorHAnsi" w:cstheme="minorHAnsi"/>
          <w:bCs/>
          <w:iCs/>
          <w:sz w:val="22"/>
          <w:szCs w:val="22"/>
          <w:lang w:bidi="ar-SA"/>
        </w:rPr>
      </w:pPr>
      <w:proofErr w:type="gramStart"/>
      <w:r>
        <w:rPr>
          <w:rFonts w:asciiTheme="minorHAnsi" w:hAnsiTheme="minorHAnsi" w:cstheme="minorHAnsi"/>
          <w:bCs/>
          <w:iCs/>
          <w:sz w:val="22"/>
          <w:szCs w:val="22"/>
          <w:lang w:bidi="ar-SA"/>
        </w:rPr>
        <w:t>en</w:t>
      </w:r>
      <w:proofErr w:type="gramEnd"/>
      <w:r>
        <w:rPr>
          <w:rFonts w:asciiTheme="minorHAnsi" w:hAnsiTheme="minorHAnsi" w:cstheme="minorHAnsi"/>
          <w:bCs/>
          <w:iCs/>
          <w:sz w:val="22"/>
          <w:szCs w:val="22"/>
          <w:lang w:bidi="ar-SA"/>
        </w:rPr>
        <w:t xml:space="preserve"> qualité de membres de plusieurs groupements d'opérateurs économiques.</w:t>
      </w:r>
    </w:p>
    <w:p w14:paraId="4F24DA8E" w14:textId="77777777" w:rsidR="004014A1" w:rsidRDefault="004014A1">
      <w:pPr>
        <w:pStyle w:val="Standard"/>
        <w:ind w:left="1066"/>
        <w:rPr>
          <w:rFonts w:asciiTheme="minorHAnsi" w:hAnsiTheme="minorHAnsi" w:cstheme="minorHAnsi"/>
          <w:bCs/>
          <w:iCs/>
          <w:sz w:val="22"/>
          <w:szCs w:val="22"/>
          <w:lang w:bidi="ar-SA"/>
        </w:rPr>
      </w:pPr>
    </w:p>
    <w:p w14:paraId="53E152C0" w14:textId="77777777" w:rsidR="004014A1" w:rsidRDefault="00000000">
      <w:pPr>
        <w:pStyle w:val="Standard"/>
        <w:rPr>
          <w:rFonts w:asciiTheme="minorHAnsi" w:eastAsia="Times" w:hAnsiTheme="minorHAnsi" w:cstheme="minorHAnsi"/>
          <w:bCs/>
          <w:iCs/>
          <w:sz w:val="22"/>
          <w:szCs w:val="22"/>
          <w:lang w:eastAsia="fr-FR" w:bidi="ar-SA"/>
        </w:rPr>
      </w:pPr>
      <w:r>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06306F70" w14:textId="77777777" w:rsidR="004014A1" w:rsidRDefault="004014A1">
      <w:pPr>
        <w:pStyle w:val="Standard"/>
        <w:rPr>
          <w:rFonts w:asciiTheme="minorHAnsi" w:eastAsia="Times" w:hAnsiTheme="minorHAnsi" w:cstheme="minorHAnsi"/>
          <w:bCs/>
          <w:iCs/>
          <w:sz w:val="22"/>
          <w:szCs w:val="22"/>
          <w:lang w:eastAsia="fr-FR" w:bidi="ar-SA"/>
        </w:rPr>
      </w:pPr>
    </w:p>
    <w:p w14:paraId="0B2FCD72"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40" w:name="_Toc239327022"/>
      <w:r>
        <w:rPr>
          <w:rFonts w:asciiTheme="minorHAnsi" w:hAnsiTheme="minorHAnsi" w:cstheme="minorHAnsi"/>
          <w:sz w:val="22"/>
          <w:szCs w:val="22"/>
          <w:u w:val="single"/>
        </w:rPr>
        <w:t>Motifs et conditions d’exclusion</w:t>
      </w:r>
      <w:bookmarkEnd w:id="40"/>
      <w:r>
        <w:rPr>
          <w:rFonts w:asciiTheme="minorHAnsi" w:hAnsiTheme="minorHAnsi" w:cstheme="minorHAnsi"/>
          <w:sz w:val="22"/>
          <w:szCs w:val="22"/>
          <w:u w:val="single"/>
        </w:rPr>
        <w:t xml:space="preserve"> </w:t>
      </w:r>
    </w:p>
    <w:p w14:paraId="43E932E7" w14:textId="77777777" w:rsidR="004014A1" w:rsidRDefault="00000000">
      <w:pPr>
        <w:pStyle w:val="Standard"/>
        <w:rPr>
          <w:rFonts w:asciiTheme="minorHAnsi" w:hAnsiTheme="minorHAnsi" w:cstheme="minorHAnsi"/>
          <w:bCs/>
          <w:iCs/>
          <w:sz w:val="22"/>
          <w:szCs w:val="22"/>
        </w:rPr>
      </w:pPr>
      <w:r>
        <w:rPr>
          <w:rFonts w:asciiTheme="minorHAnsi" w:hAnsiTheme="minorHAnsi" w:cstheme="minorHAnsi"/>
          <w:bCs/>
          <w:iCs/>
          <w:sz w:val="22"/>
          <w:szCs w:val="22"/>
        </w:rPr>
        <w:t xml:space="preserve">En application, notamment : </w:t>
      </w:r>
    </w:p>
    <w:p w14:paraId="6452B35D" w14:textId="77777777" w:rsidR="004014A1" w:rsidRDefault="00000000">
      <w:pPr>
        <w:pStyle w:val="Standard"/>
        <w:numPr>
          <w:ilvl w:val="0"/>
          <w:numId w:val="38"/>
        </w:numPr>
        <w:rPr>
          <w:rFonts w:asciiTheme="minorHAnsi" w:hAnsiTheme="minorHAnsi" w:cstheme="minorHAnsi"/>
          <w:bCs/>
          <w:iCs/>
          <w:sz w:val="22"/>
          <w:szCs w:val="22"/>
        </w:rPr>
      </w:pPr>
      <w:proofErr w:type="gramStart"/>
      <w:r>
        <w:rPr>
          <w:rFonts w:asciiTheme="minorHAnsi" w:hAnsiTheme="minorHAnsi" w:cstheme="minorHAnsi"/>
          <w:bCs/>
          <w:iCs/>
          <w:sz w:val="22"/>
          <w:szCs w:val="22"/>
        </w:rPr>
        <w:t>de</w:t>
      </w:r>
      <w:proofErr w:type="gramEnd"/>
      <w:r>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53B7E2C2" w14:textId="77777777" w:rsidR="004014A1" w:rsidRDefault="00000000">
      <w:pPr>
        <w:pStyle w:val="Standard"/>
        <w:numPr>
          <w:ilvl w:val="0"/>
          <w:numId w:val="38"/>
        </w:numPr>
        <w:rPr>
          <w:rFonts w:asciiTheme="minorHAnsi" w:hAnsiTheme="minorHAnsi" w:cstheme="minorHAnsi"/>
          <w:bCs/>
          <w:iCs/>
          <w:sz w:val="22"/>
          <w:szCs w:val="22"/>
        </w:rPr>
      </w:pPr>
      <w:proofErr w:type="gramStart"/>
      <w:r>
        <w:rPr>
          <w:rFonts w:asciiTheme="minorHAnsi" w:hAnsiTheme="minorHAnsi" w:cstheme="minorHAnsi"/>
          <w:bCs/>
          <w:iCs/>
          <w:sz w:val="22"/>
          <w:szCs w:val="22"/>
        </w:rPr>
        <w:t>du</w:t>
      </w:r>
      <w:proofErr w:type="gramEnd"/>
      <w:r>
        <w:rPr>
          <w:rFonts w:asciiTheme="minorHAnsi" w:hAnsiTheme="minorHAnsi" w:cstheme="minorHAnsi"/>
          <w:bCs/>
          <w:iCs/>
          <w:sz w:val="22"/>
          <w:szCs w:val="22"/>
        </w:rPr>
        <w:t xml:space="preserve"> chapitre II du Code monétaire et financier français portant sur les « dispositions relatives au gel des </w:t>
      </w:r>
      <w:r>
        <w:rPr>
          <w:rFonts w:asciiTheme="minorHAnsi" w:hAnsiTheme="minorHAnsi" w:cstheme="minorHAnsi"/>
          <w:bCs/>
          <w:iCs/>
          <w:sz w:val="22"/>
          <w:szCs w:val="22"/>
        </w:rPr>
        <w:lastRenderedPageBreak/>
        <w:t>avoirs et à l'interdiction de mise à disposition » (notamment les articles L562-4 et 5),</w:t>
      </w:r>
    </w:p>
    <w:p w14:paraId="5082FC80" w14:textId="77777777" w:rsidR="004014A1" w:rsidRDefault="00000000">
      <w:pPr>
        <w:pStyle w:val="Standard"/>
        <w:numPr>
          <w:ilvl w:val="0"/>
          <w:numId w:val="38"/>
        </w:numPr>
        <w:rPr>
          <w:rFonts w:asciiTheme="minorHAnsi" w:hAnsiTheme="minorHAnsi" w:cstheme="minorHAnsi"/>
          <w:bCs/>
          <w:iCs/>
          <w:sz w:val="22"/>
          <w:szCs w:val="22"/>
        </w:rPr>
      </w:pPr>
      <w:proofErr w:type="gramStart"/>
      <w:r>
        <w:rPr>
          <w:rFonts w:asciiTheme="minorHAnsi" w:hAnsiTheme="minorHAnsi" w:cstheme="minorHAnsi"/>
          <w:bCs/>
          <w:iCs/>
          <w:sz w:val="22"/>
          <w:szCs w:val="22"/>
        </w:rPr>
        <w:t>des</w:t>
      </w:r>
      <w:proofErr w:type="gramEnd"/>
      <w:r>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p>
    <w:p w14:paraId="4C1D940A" w14:textId="77777777" w:rsidR="004014A1" w:rsidRDefault="004014A1">
      <w:pPr>
        <w:pStyle w:val="Standard"/>
        <w:rPr>
          <w:rFonts w:asciiTheme="minorHAnsi" w:hAnsiTheme="minorHAnsi" w:cstheme="minorHAnsi"/>
          <w:bCs/>
          <w:iCs/>
          <w:sz w:val="22"/>
          <w:szCs w:val="22"/>
        </w:rPr>
      </w:pPr>
    </w:p>
    <w:p w14:paraId="25C51FCC" w14:textId="77777777" w:rsidR="004014A1"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Les candidats ou leur représentant se trouvant dans un des cas énumérés aux articles L.2141-1 à L.2141-10 du code de la commande publique, ou qui figurent sur une liste d’exclusion officielle sont exclus de la procédure, que leur situation soit révélée par leurs propres déclarations ou par la mise en œuvre des mesures de vigilance par l’autorité contractante.</w:t>
      </w:r>
    </w:p>
    <w:p w14:paraId="1661989F" w14:textId="77777777" w:rsidR="004014A1" w:rsidRDefault="004014A1">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p>
    <w:p w14:paraId="3928D87D" w14:textId="77777777" w:rsidR="004014A1"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 xml:space="preserve">Toutefois, lorsque la décision d’exclusion est laissée à l’appréciation de l’autorité contractante, </w:t>
      </w:r>
      <w:r>
        <w:rPr>
          <w:rFonts w:asciiTheme="minorHAnsi" w:hAnsiTheme="minorHAnsi" w:cstheme="minorHAnsi"/>
          <w:bCs/>
          <w:iCs/>
          <w:sz w:val="22"/>
          <w:szCs w:val="22"/>
        </w:rPr>
        <w:t xml:space="preserve">celle-ci invite le(s) candidat(s) susceptible(s) d’être exclu(s) à présenter ses(leurs) observations afin d'établir dans un délai raisonnable n’excédant pas 10 jours, et par tout moyen, que les mesures nécessaires pour corriger les manquements à l’origine de l’exclusion ont été prises et, le cas échéant, que sa(leur) participation à la consultation n'est pas susceptible de porter atteinte à l'égalité de </w:t>
      </w:r>
      <w:r>
        <w:rPr>
          <w:rFonts w:asciiTheme="minorHAnsi" w:eastAsia="Times" w:hAnsiTheme="minorHAnsi" w:cstheme="minorHAnsi"/>
          <w:bCs/>
          <w:iCs/>
          <w:sz w:val="22"/>
          <w:szCs w:val="22"/>
          <w:lang w:eastAsia="fr-FR" w:bidi="ar-SA"/>
        </w:rPr>
        <w:t>traitement.</w:t>
      </w:r>
    </w:p>
    <w:p w14:paraId="6F060D3F" w14:textId="77777777" w:rsidR="004014A1" w:rsidRDefault="004014A1">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p>
    <w:p w14:paraId="563721EC" w14:textId="77777777" w:rsidR="004014A1" w:rsidRDefault="00000000">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eastAsia="fr-FR" w:bidi="ar-SA"/>
        </w:rPr>
      </w:pPr>
      <w:r>
        <w:rPr>
          <w:rFonts w:asciiTheme="minorHAnsi" w:eastAsia="Times" w:hAnsiTheme="minorHAnsi" w:cstheme="minorHAnsi"/>
          <w:bCs/>
          <w:iCs/>
          <w:sz w:val="22"/>
          <w:szCs w:val="22"/>
          <w:lang w:eastAsia="fr-FR" w:bidi="ar-SA"/>
        </w:rPr>
        <w:t>Lorsqu'un opérateur économique se trouve, en cours de procédure, en situation d'exclusion, il en informe sans délai le pouvoir adjudicateur qui l'exclut pour ce motif.</w:t>
      </w:r>
    </w:p>
    <w:p w14:paraId="1C1D3447" w14:textId="77777777" w:rsidR="004014A1" w:rsidRDefault="004014A1">
      <w:pPr>
        <w:pStyle w:val="Standard"/>
        <w:rPr>
          <w:rFonts w:asciiTheme="minorHAnsi" w:eastAsia="Times" w:hAnsiTheme="minorHAnsi" w:cstheme="minorHAnsi"/>
          <w:bCs/>
          <w:iCs/>
          <w:sz w:val="22"/>
          <w:szCs w:val="22"/>
          <w:lang w:eastAsia="fr-FR" w:bidi="ar-SA"/>
        </w:rPr>
      </w:pPr>
    </w:p>
    <w:p w14:paraId="276B3D98"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41" w:name="_Toc239327023"/>
      <w:r>
        <w:rPr>
          <w:rFonts w:asciiTheme="minorHAnsi" w:hAnsiTheme="minorHAnsi" w:cstheme="minorHAnsi"/>
          <w:sz w:val="22"/>
          <w:szCs w:val="22"/>
          <w:u w:val="single"/>
        </w:rPr>
        <w:t>Niveaux minimaux requis en termes de capacités économiques, techniques et professionnelles</w:t>
      </w:r>
      <w:bookmarkEnd w:id="41"/>
      <w:r>
        <w:rPr>
          <w:rFonts w:asciiTheme="minorHAnsi" w:hAnsiTheme="minorHAnsi" w:cstheme="minorHAnsi"/>
          <w:sz w:val="22"/>
          <w:szCs w:val="22"/>
          <w:u w:val="single"/>
        </w:rPr>
        <w:t xml:space="preserve"> </w:t>
      </w:r>
    </w:p>
    <w:p w14:paraId="5826B3BA" w14:textId="77777777" w:rsidR="004014A1" w:rsidRDefault="00000000">
      <w:pPr>
        <w:pStyle w:val="Default"/>
        <w:jc w:val="both"/>
        <w:rPr>
          <w:rFonts w:asciiTheme="minorHAnsi" w:hAnsiTheme="minorHAnsi" w:cstheme="minorHAnsi"/>
          <w:sz w:val="22"/>
          <w:szCs w:val="22"/>
        </w:rPr>
      </w:pPr>
      <w:r>
        <w:rPr>
          <w:rFonts w:asciiTheme="minorHAnsi" w:hAnsiTheme="minorHAnsi" w:cstheme="minorHAnsi"/>
          <w:sz w:val="22"/>
          <w:szCs w:val="22"/>
        </w:rPr>
        <w:t xml:space="preserve">L’autorité contractante n'impose pas aux candidats de niveaux minimaux de capacité. </w:t>
      </w:r>
    </w:p>
    <w:p w14:paraId="5FC9D9A9" w14:textId="77777777" w:rsidR="004014A1" w:rsidRDefault="00000000">
      <w:pPr>
        <w:pStyle w:val="Default"/>
        <w:spacing w:before="120"/>
        <w:jc w:val="both"/>
        <w:rPr>
          <w:rFonts w:asciiTheme="minorHAnsi" w:hAnsiTheme="minorHAnsi" w:cstheme="minorHAnsi"/>
          <w:sz w:val="22"/>
          <w:szCs w:val="22"/>
        </w:rPr>
      </w:pPr>
      <w:r>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demander que soient prises en compte les capacités professionnelles, techniques et financières d'un ou de plusieurs opérateurs économiques. Dans ce cas, il doit justifier des capacités de ce ou ces autres opérateurs économiques et du fait qu'il en dispose pour l'exécution du marché.</w:t>
      </w:r>
    </w:p>
    <w:p w14:paraId="5DB0023B" w14:textId="77777777" w:rsidR="004014A1" w:rsidRDefault="00000000">
      <w:pPr>
        <w:pStyle w:val="Default"/>
        <w:jc w:val="both"/>
        <w:rPr>
          <w:rFonts w:asciiTheme="minorHAnsi" w:hAnsiTheme="minorHAnsi" w:cstheme="minorHAnsi"/>
          <w:sz w:val="22"/>
          <w:szCs w:val="22"/>
        </w:rPr>
      </w:pPr>
      <w:r>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44528978" w14:textId="77777777" w:rsidR="004014A1" w:rsidRDefault="004014A1">
      <w:pPr>
        <w:pStyle w:val="Standard"/>
        <w:rPr>
          <w:rFonts w:asciiTheme="minorHAnsi" w:eastAsia="Times" w:hAnsiTheme="minorHAnsi" w:cstheme="minorHAnsi"/>
          <w:bCs/>
          <w:iCs/>
          <w:sz w:val="22"/>
          <w:szCs w:val="22"/>
          <w:lang w:eastAsia="fr-FR" w:bidi="ar-SA"/>
        </w:rPr>
      </w:pPr>
    </w:p>
    <w:p w14:paraId="2D7099FC"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42" w:name="__RefHeading__47578_1391709442"/>
      <w:bookmarkStart w:id="43" w:name="_Toc55543747"/>
      <w:bookmarkStart w:id="44" w:name="_Toc55543797"/>
      <w:bookmarkStart w:id="45" w:name="_Toc239327024"/>
      <w:r>
        <w:rPr>
          <w:rFonts w:asciiTheme="minorHAnsi" w:hAnsiTheme="minorHAnsi" w:cstheme="minorHAnsi"/>
          <w:sz w:val="22"/>
          <w:szCs w:val="22"/>
          <w:u w:val="single"/>
        </w:rPr>
        <w:t>Précisions concernant les groupements d'opérateurs économiques</w:t>
      </w:r>
      <w:bookmarkEnd w:id="42"/>
      <w:bookmarkEnd w:id="43"/>
      <w:bookmarkEnd w:id="44"/>
      <w:r>
        <w:rPr>
          <w:rFonts w:asciiTheme="minorHAnsi" w:hAnsiTheme="minorHAnsi" w:cstheme="minorHAnsi"/>
          <w:sz w:val="22"/>
          <w:szCs w:val="22"/>
          <w:u w:val="single"/>
        </w:rPr>
        <w:t xml:space="preserve"> (consortium)</w:t>
      </w:r>
      <w:bookmarkEnd w:id="45"/>
    </w:p>
    <w:p w14:paraId="53D026C5" w14:textId="77777777" w:rsidR="004014A1" w:rsidRDefault="004014A1">
      <w:pPr>
        <w:pStyle w:val="Standard"/>
        <w:rPr>
          <w:rFonts w:asciiTheme="minorHAnsi" w:hAnsiTheme="minorHAnsi" w:cstheme="minorHAnsi"/>
          <w:bCs/>
          <w:iCs/>
          <w:sz w:val="22"/>
          <w:szCs w:val="22"/>
          <w:lang w:bidi="ar-SA"/>
        </w:rPr>
      </w:pPr>
    </w:p>
    <w:p w14:paraId="736C45AE"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46" w:name="_Toc55543798"/>
      <w:bookmarkStart w:id="47" w:name="_Toc239327025"/>
      <w:r>
        <w:rPr>
          <w:rFonts w:asciiTheme="minorHAnsi" w:hAnsiTheme="minorHAnsi" w:cstheme="minorHAnsi"/>
          <w:i/>
          <w:sz w:val="22"/>
          <w:szCs w:val="22"/>
        </w:rPr>
        <w:t>Motifs d'exclusion en cas de groupement d'opérateurs économiques</w:t>
      </w:r>
      <w:bookmarkEnd w:id="46"/>
      <w:bookmarkEnd w:id="47"/>
    </w:p>
    <w:p w14:paraId="1BBA168E" w14:textId="77777777" w:rsidR="004014A1" w:rsidRDefault="00000000">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Lorsque le motif d'exclusion de la procédure de passation concerne un des membres du groupement, 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4D000041"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48" w:name="_Toc55543800"/>
      <w:bookmarkStart w:id="49" w:name="_Toc239327026"/>
      <w:r>
        <w:rPr>
          <w:rFonts w:asciiTheme="minorHAnsi" w:hAnsiTheme="minorHAnsi" w:cstheme="minorHAnsi"/>
          <w:i/>
          <w:sz w:val="22"/>
          <w:szCs w:val="22"/>
        </w:rPr>
        <w:t>Forme du groupement</w:t>
      </w:r>
      <w:bookmarkEnd w:id="48"/>
      <w:bookmarkEnd w:id="49"/>
    </w:p>
    <w:p w14:paraId="1416A012" w14:textId="77777777" w:rsidR="004014A1" w:rsidRDefault="00000000">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La forme du groupement est conjointe. Le mandataire est solidaire pour l'exécution du marché de chacun des membres du groupement pour ses obligations contractuelles à l'égard d’Expertise France.</w:t>
      </w:r>
    </w:p>
    <w:p w14:paraId="43079FF1" w14:textId="77777777" w:rsidR="004014A1" w:rsidRDefault="004014A1">
      <w:pPr>
        <w:pStyle w:val="Standard"/>
        <w:rPr>
          <w:rFonts w:asciiTheme="minorHAnsi" w:hAnsiTheme="minorHAnsi" w:cstheme="minorHAnsi"/>
          <w:bCs/>
          <w:iCs/>
          <w:sz w:val="22"/>
          <w:szCs w:val="22"/>
          <w:lang w:bidi="ar-SA"/>
        </w:rPr>
      </w:pPr>
    </w:p>
    <w:p w14:paraId="168FAC62"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50" w:name="__RefHeading__47580_1391709442"/>
      <w:bookmarkStart w:id="51" w:name="_Toc55543748"/>
      <w:bookmarkStart w:id="52" w:name="_Toc55543801"/>
      <w:bookmarkStart w:id="53" w:name="_Toc239327027"/>
      <w:r>
        <w:rPr>
          <w:rFonts w:asciiTheme="minorHAnsi" w:hAnsiTheme="minorHAnsi" w:cstheme="minorHAnsi"/>
          <w:sz w:val="22"/>
          <w:szCs w:val="22"/>
          <w:u w:val="single"/>
        </w:rPr>
        <w:t>Précisions concernant la sous-traitance</w:t>
      </w:r>
      <w:bookmarkEnd w:id="50"/>
      <w:bookmarkEnd w:id="51"/>
      <w:bookmarkEnd w:id="52"/>
      <w:bookmarkEnd w:id="53"/>
    </w:p>
    <w:p w14:paraId="20D4D830"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54" w:name="_Toc55543802"/>
      <w:bookmarkStart w:id="55" w:name="_Toc239327028"/>
      <w:r>
        <w:rPr>
          <w:rFonts w:asciiTheme="minorHAnsi" w:hAnsiTheme="minorHAnsi" w:cstheme="minorHAnsi"/>
          <w:i/>
          <w:sz w:val="22"/>
          <w:szCs w:val="22"/>
        </w:rPr>
        <w:t>Motifs d'exclusion en cas de sous-traitance</w:t>
      </w:r>
      <w:bookmarkEnd w:id="54"/>
      <w:bookmarkEnd w:id="55"/>
    </w:p>
    <w:p w14:paraId="20765FD6" w14:textId="77777777" w:rsidR="004014A1" w:rsidRDefault="00000000">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Les personnes à l'encontre desquelles il existe un motif d'exclusion ne peuvent être acceptées en tant que sous-traitant.</w:t>
      </w:r>
    </w:p>
    <w:p w14:paraId="784769A2" w14:textId="77777777" w:rsidR="004014A1" w:rsidRDefault="00000000">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Lorsque le sous-traitant à l'encontre duquel il existe un motif d'exclusion est présenté au stade de la candidature, le pouvoir adjudicateur exige son remplacement par une personne qui ne fait pas l'objet d'un </w:t>
      </w:r>
      <w:r>
        <w:rPr>
          <w:rFonts w:asciiTheme="minorHAnsi" w:hAnsiTheme="minorHAnsi" w:cstheme="minorHAnsi"/>
          <w:bCs/>
          <w:iCs/>
          <w:sz w:val="22"/>
          <w:szCs w:val="22"/>
          <w:lang w:bidi="ar-SA"/>
        </w:rPr>
        <w:lastRenderedPageBreak/>
        <w:t>motif d'exclusion, dans un délai de 10 jours à compter de la réception de cette demande par le candidat. A défaut, le candidat est exclu de la procédure.</w:t>
      </w:r>
    </w:p>
    <w:p w14:paraId="66AC6456" w14:textId="77777777" w:rsidR="004014A1" w:rsidRDefault="00000000">
      <w:pPr>
        <w:pStyle w:val="Heading2"/>
        <w:spacing w:before="120" w:after="120" w:line="240" w:lineRule="auto"/>
        <w:ind w:left="708"/>
        <w:jc w:val="both"/>
        <w:rPr>
          <w:rFonts w:asciiTheme="minorHAnsi" w:hAnsiTheme="minorHAnsi" w:cstheme="minorHAnsi"/>
          <w:i/>
          <w:sz w:val="22"/>
          <w:szCs w:val="22"/>
        </w:rPr>
      </w:pPr>
      <w:r>
        <w:rPr>
          <w:rFonts w:asciiTheme="minorHAnsi" w:hAnsiTheme="minorHAnsi" w:cstheme="minorHAnsi"/>
          <w:i/>
          <w:sz w:val="22"/>
          <w:szCs w:val="22"/>
        </w:rPr>
        <w:t xml:space="preserve"> </w:t>
      </w:r>
      <w:bookmarkStart w:id="56" w:name="_Toc55543803"/>
      <w:bookmarkStart w:id="57" w:name="_Toc239327029"/>
      <w:r>
        <w:rPr>
          <w:rFonts w:asciiTheme="minorHAnsi" w:hAnsiTheme="minorHAnsi" w:cstheme="minorHAnsi"/>
          <w:i/>
          <w:sz w:val="22"/>
          <w:szCs w:val="22"/>
        </w:rPr>
        <w:t>Présentation d’un sous-traitant</w:t>
      </w:r>
      <w:bookmarkEnd w:id="56"/>
      <w:bookmarkEnd w:id="57"/>
    </w:p>
    <w:p w14:paraId="7E921413" w14:textId="77777777" w:rsidR="004014A1" w:rsidRDefault="00000000">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La présentation d'un sous-traitant se fait à l'aide de l'imprimé DC 4 (Déclaration de sous-traitance)</w:t>
      </w:r>
      <w:r>
        <w:rPr>
          <w:rStyle w:val="FootnoteReference"/>
          <w:rFonts w:asciiTheme="minorHAnsi" w:hAnsiTheme="minorHAnsi" w:cstheme="minorHAnsi"/>
          <w:bCs/>
          <w:iCs/>
          <w:sz w:val="22"/>
          <w:szCs w:val="22"/>
          <w:lang w:bidi="ar-SA"/>
        </w:rPr>
        <w:footnoteReference w:id="1"/>
      </w:r>
      <w:r>
        <w:rPr>
          <w:rFonts w:asciiTheme="minorHAnsi" w:hAnsiTheme="minorHAnsi" w:cstheme="minorHAnsi"/>
          <w:bCs/>
          <w:iCs/>
          <w:sz w:val="22"/>
          <w:szCs w:val="22"/>
          <w:lang w:bidi="ar-SA"/>
        </w:rPr>
        <w:t xml:space="preserv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45191F21" w14:textId="77777777" w:rsidR="004014A1" w:rsidRDefault="004014A1">
      <w:pPr>
        <w:pStyle w:val="Standard"/>
        <w:rPr>
          <w:rFonts w:asciiTheme="minorHAnsi" w:eastAsia="Times" w:hAnsiTheme="minorHAnsi" w:cstheme="minorHAnsi"/>
          <w:bCs/>
          <w:iCs/>
          <w:sz w:val="22"/>
          <w:szCs w:val="22"/>
          <w:lang w:eastAsia="fr-FR" w:bidi="ar-SA"/>
        </w:rPr>
      </w:pPr>
    </w:p>
    <w:p w14:paraId="6FCC0323"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8" w:name="_Toc56722965"/>
      <w:bookmarkStart w:id="59" w:name="_Toc56789984"/>
      <w:bookmarkStart w:id="60" w:name="_Toc56790441"/>
      <w:bookmarkStart w:id="61" w:name="_Toc63419888"/>
      <w:bookmarkStart w:id="62" w:name="_Toc239327030"/>
      <w:bookmarkEnd w:id="58"/>
      <w:bookmarkEnd w:id="59"/>
      <w:bookmarkEnd w:id="60"/>
      <w:bookmarkEnd w:id="61"/>
      <w:r>
        <w:rPr>
          <w:rFonts w:asciiTheme="minorHAnsi" w:hAnsiTheme="minorHAnsi" w:cstheme="minorHAnsi"/>
          <w:b/>
          <w:caps/>
          <w:sz w:val="28"/>
          <w:szCs w:val="22"/>
          <w:u w:val="single"/>
        </w:rPr>
        <w:t>Présentation des plis et modalités de depôt</w:t>
      </w:r>
      <w:bookmarkEnd w:id="62"/>
    </w:p>
    <w:p w14:paraId="00A140DE" w14:textId="77777777" w:rsidR="004014A1" w:rsidRDefault="00000000">
      <w:pPr>
        <w:pStyle w:val="v"/>
        <w:widowControl w:val="0"/>
        <w:ind w:left="0" w:firstLine="0"/>
        <w:rPr>
          <w:rFonts w:asciiTheme="minorHAnsi" w:hAnsiTheme="minorHAnsi" w:cstheme="minorHAnsi"/>
          <w:szCs w:val="22"/>
        </w:rPr>
      </w:pPr>
      <w:bookmarkStart w:id="63" w:name="_Toc417653428"/>
      <w:bookmarkStart w:id="64" w:name="_Toc419212444"/>
      <w:bookmarkStart w:id="65" w:name="_Toc443657778"/>
      <w:bookmarkStart w:id="66" w:name="_Toc446628697"/>
      <w:r>
        <w:rPr>
          <w:rFonts w:asciiTheme="minorHAnsi" w:hAnsiTheme="minorHAnsi" w:cstheme="minorHAnsi"/>
          <w:szCs w:val="22"/>
        </w:rPr>
        <w:t>Les soumissionnaires remettent un dossier complet comprenant les pièces mentionnées ci-après. Les documents demandés doivent être signés par le soumissionnaire, le mandataire du groupement momentané d'entreprises ou chacun des membres de ce même groupement.</w:t>
      </w:r>
    </w:p>
    <w:p w14:paraId="45422E89"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67" w:name="_Toc452049149"/>
      <w:bookmarkStart w:id="68" w:name="_Toc455587889"/>
      <w:bookmarkStart w:id="69" w:name="_Toc455679215"/>
      <w:bookmarkStart w:id="70" w:name="_Toc455768072"/>
      <w:bookmarkStart w:id="71" w:name="_Toc239327031"/>
      <w:bookmarkEnd w:id="63"/>
      <w:bookmarkEnd w:id="64"/>
      <w:bookmarkEnd w:id="65"/>
      <w:bookmarkEnd w:id="66"/>
      <w:r>
        <w:rPr>
          <w:rFonts w:asciiTheme="minorHAnsi" w:hAnsiTheme="minorHAnsi" w:cstheme="minorHAnsi"/>
          <w:sz w:val="22"/>
          <w:szCs w:val="22"/>
          <w:u w:val="single"/>
        </w:rPr>
        <w:t xml:space="preserve">Pièces constitutives de </w:t>
      </w:r>
      <w:bookmarkEnd w:id="67"/>
      <w:bookmarkEnd w:id="68"/>
      <w:bookmarkEnd w:id="69"/>
      <w:bookmarkEnd w:id="70"/>
      <w:r>
        <w:rPr>
          <w:rFonts w:asciiTheme="minorHAnsi" w:hAnsiTheme="minorHAnsi" w:cstheme="minorHAnsi"/>
          <w:sz w:val="22"/>
          <w:szCs w:val="22"/>
          <w:u w:val="single"/>
        </w:rPr>
        <w:t>la candidature</w:t>
      </w:r>
      <w:bookmarkEnd w:id="71"/>
    </w:p>
    <w:p w14:paraId="170005DB"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les éléments de candidatures suivants :</w:t>
      </w:r>
    </w:p>
    <w:p w14:paraId="76ED5774" w14:textId="77777777" w:rsidR="004014A1" w:rsidRDefault="00000000">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preuve de l’enregistrement du candidat au registre des sociétés (K-bis ou équivalent) ;</w:t>
      </w:r>
    </w:p>
    <w:p w14:paraId="0A41067D" w14:textId="77777777" w:rsidR="004014A1" w:rsidRDefault="00000000">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formulaire de candidature comprenant la déclaration sur l'honneur relative aux critères d'exclusion, à l'absence de conflit d'intérêt et la fiche d’identité tiers ;</w:t>
      </w:r>
    </w:p>
    <w:p w14:paraId="7BA29AEF" w14:textId="77777777" w:rsidR="004014A1" w:rsidRDefault="00000000">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formulaire de vérification de conformité au RGPD joint, permettant de vérifier la mise en œuvre par le soumissionnaire de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 ;</w:t>
      </w:r>
    </w:p>
    <w:p w14:paraId="281EC580" w14:textId="77777777" w:rsidR="004014A1" w:rsidRDefault="00000000">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cas échéant, jugement(s) prononçant le redressement judiciaire (en cas de redressement judiciaire) ;</w:t>
      </w:r>
    </w:p>
    <w:p w14:paraId="3F8B90F3" w14:textId="77777777" w:rsidR="004014A1" w:rsidRDefault="00000000">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 descriptif des moyens techniques répondant aux conditions de participation décrites ci-après</w:t>
      </w:r>
    </w:p>
    <w:p w14:paraId="68447EC2" w14:textId="77777777" w:rsidR="004014A1" w:rsidRDefault="00000000">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Liste de références en rapport avec l’objet du marché indiquant le nom et l’adresse mail d’un contact référent,</w:t>
      </w:r>
    </w:p>
    <w:p w14:paraId="26BFD96E" w14:textId="77777777" w:rsidR="004014A1" w:rsidRDefault="00000000">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 descriptif des capacités économiques et financières répondant aux conditions de participation décrites ci-après :</w:t>
      </w:r>
    </w:p>
    <w:p w14:paraId="29051B97" w14:textId="77777777" w:rsidR="004014A1" w:rsidRDefault="00000000">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Attestations d’assurance responsabilité civile et/ou professionnelle en cours de validité ;</w:t>
      </w:r>
    </w:p>
    <w:p w14:paraId="44004666" w14:textId="77777777" w:rsidR="004014A1" w:rsidRDefault="004014A1">
      <w:pPr>
        <w:pStyle w:val="Default"/>
        <w:jc w:val="both"/>
        <w:rPr>
          <w:rFonts w:asciiTheme="minorHAnsi" w:eastAsia="Times" w:hAnsiTheme="minorHAnsi" w:cstheme="minorHAnsi"/>
          <w:color w:val="auto"/>
          <w:sz w:val="22"/>
          <w:szCs w:val="22"/>
        </w:rPr>
      </w:pPr>
    </w:p>
    <w:p w14:paraId="59998906" w14:textId="77777777" w:rsidR="004014A1" w:rsidRDefault="00000000">
      <w:pPr>
        <w:pStyle w:val="Heading2"/>
        <w:spacing w:before="240" w:after="120" w:line="240" w:lineRule="auto"/>
        <w:jc w:val="both"/>
        <w:rPr>
          <w:rFonts w:asciiTheme="minorHAnsi" w:hAnsiTheme="minorHAnsi" w:cstheme="minorHAnsi"/>
          <w:sz w:val="22"/>
          <w:szCs w:val="22"/>
          <w:u w:val="single"/>
        </w:rPr>
      </w:pPr>
      <w:bookmarkStart w:id="72" w:name="_Toc239327032"/>
      <w:r>
        <w:rPr>
          <w:rFonts w:asciiTheme="minorHAnsi" w:hAnsiTheme="minorHAnsi" w:cstheme="minorHAnsi"/>
          <w:sz w:val="22"/>
          <w:szCs w:val="22"/>
          <w:u w:val="single"/>
        </w:rPr>
        <w:t>Pièces constitutives de l’offre</w:t>
      </w:r>
      <w:bookmarkEnd w:id="72"/>
    </w:p>
    <w:p w14:paraId="722AA071"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un dossier complet comprenant les pièces suivantes :</w:t>
      </w:r>
    </w:p>
    <w:p w14:paraId="6859F327" w14:textId="77777777" w:rsidR="004014A1" w:rsidRDefault="00000000">
      <w:pPr>
        <w:pStyle w:val="Default"/>
        <w:numPr>
          <w:ilvl w:val="0"/>
          <w:numId w:val="18"/>
        </w:numPr>
        <w:jc w:val="both"/>
        <w:rPr>
          <w:rFonts w:asciiTheme="minorHAnsi" w:eastAsia="Times" w:hAnsiTheme="minorHAnsi" w:cstheme="minorHAnsi"/>
          <w:color w:val="auto"/>
          <w:sz w:val="22"/>
          <w:szCs w:val="22"/>
        </w:rPr>
      </w:pPr>
      <w:r>
        <w:rPr>
          <w:rFonts w:asciiTheme="minorHAnsi" w:hAnsiTheme="minorHAnsi" w:cstheme="minorHAnsi"/>
          <w:sz w:val="22"/>
          <w:szCs w:val="22"/>
        </w:rPr>
        <w:t xml:space="preserve">Le projet de contrat </w:t>
      </w:r>
      <w:r>
        <w:rPr>
          <w:rFonts w:asciiTheme="minorHAnsi" w:eastAsia="Times" w:hAnsiTheme="minorHAnsi" w:cstheme="minorHAnsi"/>
          <w:color w:val="auto"/>
          <w:sz w:val="22"/>
          <w:szCs w:val="22"/>
        </w:rPr>
        <w:t xml:space="preserve">dûment renseigné, daté et signé et en annexe : </w:t>
      </w:r>
    </w:p>
    <w:p w14:paraId="5DD212C8" w14:textId="77777777" w:rsidR="004014A1" w:rsidRDefault="00000000">
      <w:pPr>
        <w:pStyle w:val="Default"/>
        <w:numPr>
          <w:ilvl w:val="1"/>
          <w:numId w:val="18"/>
        </w:numPr>
        <w:jc w:val="both"/>
        <w:rPr>
          <w:rFonts w:asciiTheme="minorHAnsi" w:eastAsia="Times" w:hAnsiTheme="minorHAnsi" w:cstheme="minorHAnsi"/>
          <w:color w:val="auto"/>
          <w:sz w:val="22"/>
          <w:szCs w:val="22"/>
        </w:rPr>
      </w:pPr>
      <w:proofErr w:type="gramStart"/>
      <w:r>
        <w:rPr>
          <w:rFonts w:asciiTheme="minorHAnsi" w:eastAsia="Times" w:hAnsiTheme="minorHAnsi" w:cstheme="minorHAnsi"/>
          <w:color w:val="auto"/>
          <w:sz w:val="22"/>
          <w:szCs w:val="22"/>
        </w:rPr>
        <w:t>les</w:t>
      </w:r>
      <w:proofErr w:type="gramEnd"/>
      <w:r>
        <w:rPr>
          <w:rFonts w:asciiTheme="minorHAnsi" w:eastAsia="Times" w:hAnsiTheme="minorHAnsi" w:cstheme="minorHAnsi"/>
          <w:color w:val="auto"/>
          <w:sz w:val="22"/>
          <w:szCs w:val="22"/>
        </w:rPr>
        <w:t xml:space="preserve"> annexes financières dûment renseignées ;</w:t>
      </w:r>
    </w:p>
    <w:p w14:paraId="5F2766E9" w14:textId="77777777" w:rsidR="004014A1" w:rsidRDefault="00000000">
      <w:pPr>
        <w:pStyle w:val="Default"/>
        <w:numPr>
          <w:ilvl w:val="1"/>
          <w:numId w:val="18"/>
        </w:numPr>
        <w:jc w:val="both"/>
        <w:rPr>
          <w:rFonts w:asciiTheme="minorHAnsi" w:eastAsia="Times" w:hAnsiTheme="minorHAnsi" w:cstheme="minorHAnsi"/>
          <w:color w:val="auto"/>
          <w:sz w:val="22"/>
          <w:szCs w:val="22"/>
        </w:rPr>
      </w:pPr>
      <w:proofErr w:type="gramStart"/>
      <w:r>
        <w:rPr>
          <w:rFonts w:asciiTheme="minorHAnsi" w:eastAsia="Times" w:hAnsiTheme="minorHAnsi" w:cstheme="minorHAnsi"/>
          <w:color w:val="auto"/>
          <w:sz w:val="22"/>
          <w:szCs w:val="22"/>
        </w:rPr>
        <w:t>l’annexe</w:t>
      </w:r>
      <w:proofErr w:type="gramEnd"/>
      <w:r>
        <w:rPr>
          <w:rFonts w:asciiTheme="minorHAnsi" w:eastAsia="Times" w:hAnsiTheme="minorHAnsi" w:cstheme="minorHAnsi"/>
          <w:color w:val="auto"/>
          <w:sz w:val="22"/>
          <w:szCs w:val="22"/>
        </w:rPr>
        <w:t xml:space="preserve"> portant définition et conditions de réalisation des opérations de traitement des données à caractère personnel pour le compte de l’autorité contractante, dûment complétée ;</w:t>
      </w:r>
    </w:p>
    <w:p w14:paraId="05A3D3D6" w14:textId="77777777" w:rsidR="004014A1" w:rsidRDefault="00000000">
      <w:pPr>
        <w:pStyle w:val="v"/>
        <w:widowControl w:val="0"/>
        <w:numPr>
          <w:ilvl w:val="0"/>
          <w:numId w:val="18"/>
        </w:numPr>
        <w:rPr>
          <w:rFonts w:asciiTheme="minorHAnsi" w:hAnsiTheme="minorHAnsi" w:cstheme="minorHAnsi"/>
          <w:szCs w:val="22"/>
        </w:rPr>
      </w:pPr>
      <w:r>
        <w:rPr>
          <w:rFonts w:asciiTheme="minorHAnsi" w:hAnsiTheme="minorHAnsi" w:cstheme="minorHAnsi"/>
          <w:szCs w:val="22"/>
        </w:rPr>
        <w:t>Un mémoire technique comprenant les informations suivantes</w:t>
      </w:r>
      <w:r>
        <w:rPr>
          <w:rFonts w:asciiTheme="minorHAnsi" w:hAnsiTheme="minorHAnsi" w:cstheme="minorHAnsi"/>
          <w:b/>
          <w:szCs w:val="22"/>
        </w:rPr>
        <w:t xml:space="preserve"> </w:t>
      </w:r>
      <w:r>
        <w:rPr>
          <w:rFonts w:asciiTheme="minorHAnsi" w:hAnsiTheme="minorHAnsi" w:cstheme="minorHAnsi"/>
          <w:szCs w:val="22"/>
        </w:rPr>
        <w:t>:</w:t>
      </w:r>
    </w:p>
    <w:p w14:paraId="79026E63" w14:textId="77777777" w:rsidR="004014A1" w:rsidRDefault="00000000">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Description des matériels ou du service proposé</w:t>
      </w:r>
    </w:p>
    <w:p w14:paraId="6D51CE43" w14:textId="77777777" w:rsidR="004014A1" w:rsidRDefault="00000000">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Méthodologie</w:t>
      </w:r>
    </w:p>
    <w:p w14:paraId="7662DBBE" w14:textId="77777777" w:rsidR="004014A1" w:rsidRDefault="00000000">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Plan d’action</w:t>
      </w:r>
    </w:p>
    <w:p w14:paraId="49950E85" w14:textId="77777777" w:rsidR="004014A1" w:rsidRDefault="00000000">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Chronogramme</w:t>
      </w:r>
    </w:p>
    <w:p w14:paraId="765ADFF3" w14:textId="77777777" w:rsidR="004014A1" w:rsidRDefault="004014A1">
      <w:pPr>
        <w:pStyle w:val="Default"/>
        <w:ind w:left="1440"/>
        <w:jc w:val="both"/>
        <w:rPr>
          <w:rFonts w:asciiTheme="minorHAnsi" w:hAnsiTheme="minorHAnsi" w:cstheme="minorHAnsi"/>
          <w:sz w:val="22"/>
          <w:szCs w:val="22"/>
        </w:rPr>
      </w:pPr>
    </w:p>
    <w:p w14:paraId="174E731A" w14:textId="77777777" w:rsidR="004014A1" w:rsidRDefault="00000000">
      <w:pPr>
        <w:pStyle w:val="Heading2"/>
        <w:spacing w:before="240" w:after="120" w:line="240" w:lineRule="auto"/>
        <w:jc w:val="both"/>
        <w:rPr>
          <w:rFonts w:asciiTheme="minorHAnsi" w:hAnsiTheme="minorHAnsi" w:cstheme="minorHAnsi"/>
          <w:sz w:val="22"/>
          <w:szCs w:val="22"/>
          <w:u w:val="single"/>
        </w:rPr>
      </w:pPr>
      <w:bookmarkStart w:id="73" w:name="_Toc239327033"/>
      <w:r>
        <w:rPr>
          <w:rFonts w:asciiTheme="minorHAnsi" w:hAnsiTheme="minorHAnsi" w:cstheme="minorHAnsi"/>
          <w:sz w:val="22"/>
          <w:szCs w:val="22"/>
          <w:u w:val="single"/>
        </w:rPr>
        <w:lastRenderedPageBreak/>
        <w:t>Durée de validité des offres</w:t>
      </w:r>
      <w:bookmarkEnd w:id="73"/>
    </w:p>
    <w:p w14:paraId="37A26FCF"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La validité des offres remises par les soumissionnaires est maintenue 120 jours à compter de la date limite de remise des offres.</w:t>
      </w:r>
    </w:p>
    <w:p w14:paraId="6DA816FD" w14:textId="77777777" w:rsidR="004014A1" w:rsidRDefault="004014A1">
      <w:pPr>
        <w:pStyle w:val="Default"/>
        <w:jc w:val="both"/>
        <w:rPr>
          <w:rFonts w:asciiTheme="minorHAnsi" w:hAnsiTheme="minorHAnsi" w:cstheme="minorHAnsi"/>
          <w:sz w:val="22"/>
          <w:szCs w:val="22"/>
        </w:rPr>
      </w:pPr>
    </w:p>
    <w:p w14:paraId="6486C9FD" w14:textId="77777777" w:rsidR="004014A1" w:rsidRDefault="00000000">
      <w:pPr>
        <w:pStyle w:val="Heading2"/>
        <w:spacing w:before="240" w:after="120" w:line="240" w:lineRule="auto"/>
        <w:jc w:val="both"/>
        <w:rPr>
          <w:rFonts w:asciiTheme="minorHAnsi" w:hAnsiTheme="minorHAnsi" w:cstheme="minorHAnsi"/>
          <w:sz w:val="22"/>
          <w:szCs w:val="22"/>
          <w:u w:val="single"/>
        </w:rPr>
      </w:pPr>
      <w:bookmarkStart w:id="74" w:name="_Toc491193511"/>
      <w:bookmarkStart w:id="75" w:name="_Toc491193966"/>
      <w:bookmarkStart w:id="76" w:name="_Toc239327034"/>
      <w:bookmarkEnd w:id="74"/>
      <w:bookmarkEnd w:id="75"/>
      <w:r>
        <w:rPr>
          <w:rFonts w:asciiTheme="minorHAnsi" w:hAnsiTheme="minorHAnsi" w:cstheme="minorHAnsi"/>
          <w:sz w:val="22"/>
          <w:szCs w:val="22"/>
          <w:u w:val="single"/>
        </w:rPr>
        <w:t>Modalités de remise des plis</w:t>
      </w:r>
      <w:bookmarkEnd w:id="76"/>
    </w:p>
    <w:p w14:paraId="21FFE646"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77" w:name="_Toc239327035"/>
      <w:r>
        <w:rPr>
          <w:rFonts w:asciiTheme="minorHAnsi" w:hAnsiTheme="minorHAnsi" w:cstheme="minorHAnsi"/>
          <w:i/>
          <w:sz w:val="22"/>
          <w:szCs w:val="22"/>
        </w:rPr>
        <w:t>Remise des plis sous format papier</w:t>
      </w:r>
      <w:bookmarkEnd w:id="77"/>
      <w:r>
        <w:rPr>
          <w:rFonts w:asciiTheme="minorHAnsi" w:hAnsiTheme="minorHAnsi" w:cstheme="minorHAnsi"/>
          <w:i/>
          <w:sz w:val="22"/>
          <w:szCs w:val="22"/>
        </w:rPr>
        <w:t xml:space="preserve"> </w:t>
      </w:r>
    </w:p>
    <w:p w14:paraId="7131CC77" w14:textId="77777777" w:rsidR="004014A1" w:rsidRDefault="00000000">
      <w:pPr>
        <w:spacing w:before="120"/>
        <w:jc w:val="both"/>
        <w:rPr>
          <w:rFonts w:asciiTheme="minorHAnsi" w:hAnsiTheme="minorHAnsi" w:cstheme="minorHAnsi"/>
          <w:sz w:val="22"/>
          <w:szCs w:val="22"/>
        </w:rPr>
      </w:pPr>
      <w:r>
        <w:rPr>
          <w:rFonts w:asciiTheme="minorHAnsi" w:hAnsiTheme="minorHAnsi" w:cstheme="minorHAnsi"/>
          <w:sz w:val="22"/>
          <w:szCs w:val="22"/>
        </w:rPr>
        <w:t>Les plis remis sous format papier sont rejetés.</w:t>
      </w:r>
    </w:p>
    <w:p w14:paraId="1E7DE48C" w14:textId="77777777" w:rsidR="004014A1" w:rsidRDefault="004014A1">
      <w:pPr>
        <w:spacing w:before="120"/>
        <w:jc w:val="both"/>
        <w:rPr>
          <w:rFonts w:asciiTheme="minorHAnsi" w:eastAsia="Times New Roman" w:hAnsiTheme="minorHAnsi" w:cstheme="minorHAnsi"/>
          <w:sz w:val="22"/>
          <w:szCs w:val="22"/>
        </w:rPr>
      </w:pPr>
    </w:p>
    <w:p w14:paraId="5EB59750"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78" w:name="_Toc239327036"/>
      <w:r>
        <w:rPr>
          <w:rFonts w:asciiTheme="minorHAnsi" w:hAnsiTheme="minorHAnsi" w:cstheme="minorHAnsi"/>
          <w:i/>
          <w:sz w:val="22"/>
          <w:szCs w:val="22"/>
        </w:rPr>
        <w:t>Remise électronique</w:t>
      </w:r>
      <w:bookmarkEnd w:id="78"/>
      <w:r>
        <w:rPr>
          <w:rFonts w:asciiTheme="minorHAnsi" w:hAnsiTheme="minorHAnsi" w:cstheme="minorHAnsi"/>
          <w:i/>
          <w:sz w:val="22"/>
          <w:szCs w:val="22"/>
        </w:rPr>
        <w:t xml:space="preserve"> </w:t>
      </w:r>
    </w:p>
    <w:p w14:paraId="777ACAB3" w14:textId="77777777" w:rsidR="004014A1" w:rsidRDefault="00000000">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Pour accéder à l’espace de consultation du marché ou pour déposer leur pli, </w:t>
      </w:r>
      <w:r>
        <w:rPr>
          <w:rFonts w:asciiTheme="minorHAnsi" w:eastAsia="Times New Roman" w:hAnsiTheme="minorHAnsi" w:cstheme="minorHAnsi"/>
          <w:sz w:val="22"/>
          <w:szCs w:val="22"/>
        </w:rPr>
        <w:t>les soumissionnaires doivent se connecter à la Plateforme des Achats de l’Etat à l’adresse suivante</w:t>
      </w:r>
      <w:r>
        <w:rPr>
          <w:rFonts w:asciiTheme="minorHAnsi" w:hAnsiTheme="minorHAnsi" w:cstheme="minorHAnsi"/>
          <w:sz w:val="22"/>
          <w:szCs w:val="22"/>
        </w:rPr>
        <w:t xml:space="preserve"> : </w:t>
      </w:r>
    </w:p>
    <w:p w14:paraId="3CBF31C9" w14:textId="77777777" w:rsidR="004014A1" w:rsidRDefault="00000000">
      <w:pPr>
        <w:spacing w:line="240" w:lineRule="auto"/>
        <w:jc w:val="both"/>
        <w:rPr>
          <w:rFonts w:asciiTheme="minorHAnsi" w:hAnsiTheme="minorHAnsi" w:cstheme="minorHAnsi"/>
          <w:sz w:val="22"/>
          <w:szCs w:val="22"/>
        </w:rPr>
      </w:pPr>
      <w:hyperlink w:history="1">
        <w:r>
          <w:rPr>
            <w:rStyle w:val="Hyperlink"/>
            <w:rFonts w:asciiTheme="minorHAnsi" w:hAnsiTheme="minorHAnsi" w:cstheme="minorHAnsi"/>
            <w:sz w:val="22"/>
            <w:szCs w:val="22"/>
          </w:rPr>
          <w:t xml:space="preserve">https://www.marches-publics.gouv.fr </w:t>
        </w:r>
      </w:hyperlink>
    </w:p>
    <w:p w14:paraId="0DE5B022" w14:textId="77777777" w:rsidR="004014A1" w:rsidRDefault="00000000">
      <w:pPr>
        <w:spacing w:before="120" w:line="240" w:lineRule="auto"/>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 Toute remise par un autre moyen sera rejetée.</w:t>
      </w:r>
    </w:p>
    <w:p w14:paraId="3FA2C019" w14:textId="77777777" w:rsidR="004014A1" w:rsidRDefault="00000000">
      <w:pPr>
        <w:spacing w:before="120" w:line="240" w:lineRule="auto"/>
        <w:jc w:val="both"/>
        <w:rPr>
          <w:rStyle w:val="Hyperlink"/>
          <w:rFonts w:asciiTheme="minorHAnsi" w:hAnsiTheme="minorHAnsi" w:cstheme="minorHAnsi"/>
          <w:sz w:val="22"/>
          <w:szCs w:val="22"/>
        </w:rPr>
      </w:pPr>
      <w:r>
        <w:rPr>
          <w:rFonts w:asciiTheme="minorHAnsi" w:hAnsiTheme="minorHAnsi" w:cstheme="minorHAnsi"/>
          <w:sz w:val="22"/>
          <w:szCs w:val="22"/>
        </w:rPr>
        <w:t xml:space="preserve">La procédure de dépôt des plis est détaillée sur le site </w:t>
      </w:r>
      <w:hyperlink r:id="rId14" w:tooltip="http://www.marches-publics.gouv.fr" w:history="1">
        <w:r>
          <w:rPr>
            <w:rStyle w:val="Hyperlink"/>
            <w:rFonts w:asciiTheme="minorHAnsi" w:hAnsiTheme="minorHAnsi" w:cstheme="minorHAnsi"/>
            <w:sz w:val="22"/>
            <w:szCs w:val="22"/>
          </w:rPr>
          <w:t>www.marches-publics.gouv.fr</w:t>
        </w:r>
      </w:hyperlink>
      <w:r>
        <w:rPr>
          <w:rStyle w:val="Hyperlink"/>
          <w:rFonts w:asciiTheme="minorHAnsi" w:hAnsiTheme="minorHAnsi" w:cstheme="minorHAnsi"/>
          <w:sz w:val="22"/>
          <w:szCs w:val="22"/>
        </w:rPr>
        <w:t xml:space="preserve">. </w:t>
      </w:r>
    </w:p>
    <w:p w14:paraId="61B05E50" w14:textId="77777777" w:rsidR="004014A1" w:rsidRDefault="00000000">
      <w:pPr>
        <w:spacing w:before="120" w:line="240" w:lineRule="auto"/>
        <w:jc w:val="both"/>
        <w:rPr>
          <w:rFonts w:asciiTheme="minorHAnsi" w:hAnsiTheme="minorHAnsi" w:cstheme="minorHAnsi"/>
          <w:sz w:val="22"/>
          <w:szCs w:val="22"/>
        </w:rPr>
      </w:pPr>
      <w:r>
        <w:rPr>
          <w:rStyle w:val="Hyperlink"/>
          <w:rFonts w:asciiTheme="minorHAnsi" w:hAnsiTheme="minorHAnsi" w:cstheme="minorHAnsi"/>
          <w:color w:val="auto"/>
          <w:sz w:val="22"/>
          <w:szCs w:val="22"/>
          <w:u w:val="none"/>
        </w:rPr>
        <w:t xml:space="preserve">Les soumissionnaires y trouveront notamment </w:t>
      </w:r>
      <w:r>
        <w:rPr>
          <w:rFonts w:asciiTheme="minorHAnsi" w:hAnsiTheme="minorHAnsi" w:cstheme="minorHAnsi"/>
          <w:sz w:val="22"/>
          <w:szCs w:val="22"/>
        </w:rPr>
        <w:t>un</w:t>
      </w:r>
      <w:proofErr w:type="gramStart"/>
      <w:r>
        <w:rPr>
          <w:rFonts w:asciiTheme="minorHAnsi" w:hAnsiTheme="minorHAnsi" w:cstheme="minorHAnsi"/>
          <w:sz w:val="22"/>
          <w:szCs w:val="22"/>
        </w:rPr>
        <w:t xml:space="preserve"> «guide</w:t>
      </w:r>
      <w:proofErr w:type="gramEnd"/>
      <w:r>
        <w:rPr>
          <w:rFonts w:asciiTheme="minorHAnsi" w:hAnsiTheme="minorHAnsi" w:cstheme="minorHAnsi"/>
          <w:sz w:val="22"/>
          <w:szCs w:val="22"/>
        </w:rPr>
        <w:t xml:space="preserve"> utilisateur» téléchargeable qui précise les conditions d'utilisations de la plate-forme des achats de l'État, notamment les </w:t>
      </w:r>
      <w:proofErr w:type="spellStart"/>
      <w:r>
        <w:rPr>
          <w:rFonts w:asciiTheme="minorHAnsi" w:hAnsiTheme="minorHAnsi" w:cstheme="minorHAnsi"/>
          <w:sz w:val="22"/>
          <w:szCs w:val="22"/>
        </w:rPr>
        <w:t>pré-requis</w:t>
      </w:r>
      <w:proofErr w:type="spellEnd"/>
      <w:r>
        <w:rPr>
          <w:rFonts w:asciiTheme="minorHAnsi" w:hAnsiTheme="minorHAnsi" w:cstheme="minorHAnsi"/>
          <w:sz w:val="22"/>
          <w:szCs w:val="22"/>
        </w:rPr>
        <w:t xml:space="preserve"> techniques et certificats électroniques.</w:t>
      </w:r>
    </w:p>
    <w:p w14:paraId="461F1E18" w14:textId="77777777" w:rsidR="004014A1" w:rsidRDefault="00000000">
      <w:pPr>
        <w:spacing w:before="120" w:line="240" w:lineRule="auto"/>
        <w:jc w:val="both"/>
        <w:rPr>
          <w:rStyle w:val="Hyperlink"/>
          <w:rFonts w:asciiTheme="minorHAnsi" w:hAnsiTheme="minorHAnsi" w:cstheme="minorHAnsi"/>
          <w:color w:val="auto"/>
          <w:sz w:val="22"/>
          <w:szCs w:val="22"/>
          <w:u w:val="none"/>
        </w:rPr>
      </w:pPr>
      <w:r>
        <w:rPr>
          <w:rFonts w:asciiTheme="minorHAnsi" w:hAnsiTheme="minorHAnsi" w:cstheme="minorHAnsi"/>
          <w:sz w:val="22"/>
          <w:szCs w:val="22"/>
        </w:rPr>
        <w:t>S'ils le souhaitent, les candidats pourront prendre contact avec le 09 72 37 01 30 tous les jours ouvrés de 9h00 à 19h00 pour bénéficier d'une assistance technique de PLACE dans l'accomplissement de ces opérations.</w:t>
      </w:r>
    </w:p>
    <w:p w14:paraId="32D2624D"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4C11E6CF"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frais d'accès au réseau et de recours à la signature électronique sont à la charge de chaque candidat.</w:t>
      </w:r>
    </w:p>
    <w:p w14:paraId="65D06DEF" w14:textId="77777777" w:rsidR="004014A1" w:rsidRDefault="00000000">
      <w:pPr>
        <w:spacing w:before="120" w:line="240" w:lineRule="auto"/>
        <w:jc w:val="both"/>
        <w:rPr>
          <w:rFonts w:asciiTheme="minorHAnsi" w:hAnsiTheme="minorHAnsi" w:cstheme="minorHAnsi"/>
          <w:sz w:val="22"/>
          <w:szCs w:val="22"/>
          <w:u w:val="single"/>
        </w:rPr>
      </w:pPr>
      <w:r>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081668C2"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L'attention des soumissionnaires est attirée sur le fait qu'ils devront au moins disposer d'un logiciel de navigation sur Internet. La disposition d'un outil de signature électronique n’est pas obligatoire.</w:t>
      </w:r>
    </w:p>
    <w:p w14:paraId="5EBD8269"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Pour constituer son offre, le soumissionnaire devra transmettre des fichiers établis dans les formats informatiques suivants : fichiers PDF, RTF, ZIP, suite Microsoft Office, LibreOffice ou Open Office. Tout fichier informatique établi dans un format informatique différent sera déclaré nul et non avenu.</w:t>
      </w:r>
    </w:p>
    <w:p w14:paraId="2740EF3B" w14:textId="77777777" w:rsidR="004014A1" w:rsidRDefault="00000000">
      <w:pPr>
        <w:spacing w:before="240" w:line="240" w:lineRule="auto"/>
        <w:jc w:val="both"/>
        <w:rPr>
          <w:rFonts w:asciiTheme="minorHAnsi" w:hAnsiTheme="minorHAnsi" w:cstheme="minorHAnsi"/>
          <w:b/>
          <w:sz w:val="22"/>
          <w:szCs w:val="22"/>
        </w:rPr>
      </w:pPr>
      <w:r>
        <w:rPr>
          <w:rFonts w:asciiTheme="minorHAnsi" w:hAnsiTheme="minorHAnsi" w:cstheme="minorHAnsi"/>
          <w:b/>
          <w:sz w:val="22"/>
          <w:szCs w:val="22"/>
        </w:rPr>
        <w:t>ATTENTION !</w:t>
      </w:r>
    </w:p>
    <w:p w14:paraId="0126724B"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Tout fichier constitutif de l’offre 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3AFB6224"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8F0D013"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NB : L’attention des soumissionnaires est attirée sur la durée d’acheminement des plis électroniques volumineux. Le délai moyen de téléchargement peut varier en fonction de paramètres divers comme la capacité technique du matériel, le type de raccordement à internet, le trafic sur le réseau…</w:t>
      </w:r>
    </w:p>
    <w:p w14:paraId="296B5BC5"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Dans la mesure où la date et l’heure de fin d’acheminement font foi lors de la remise d’une réponse dématérialisée, les soumissionnaires sont invités à intégrer des marges de manœuvre dans leur processus de réponse par voie dématérialisée.</w:t>
      </w:r>
    </w:p>
    <w:p w14:paraId="16AC5981"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lastRenderedPageBreak/>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 Il s'engage enfin à en accepter la notification, selon les procédés habituellement en cours, sous forme papier.</w:t>
      </w:r>
    </w:p>
    <w:p w14:paraId="6CF26188"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9" w:name="_Toc63419901"/>
      <w:bookmarkStart w:id="80" w:name="_Toc63419905"/>
      <w:bookmarkEnd w:id="79"/>
      <w:bookmarkEnd w:id="80"/>
      <w:r>
        <w:rPr>
          <w:rFonts w:asciiTheme="minorHAnsi" w:hAnsiTheme="minorHAnsi" w:cstheme="minorHAnsi"/>
          <w:b/>
          <w:caps/>
          <w:sz w:val="28"/>
          <w:szCs w:val="22"/>
          <w:u w:val="single"/>
        </w:rPr>
        <w:t> </w:t>
      </w:r>
      <w:bookmarkStart w:id="81" w:name="_Toc239327037"/>
      <w:r>
        <w:rPr>
          <w:rFonts w:asciiTheme="minorHAnsi" w:hAnsiTheme="minorHAnsi" w:cstheme="minorHAnsi"/>
          <w:b/>
          <w:caps/>
          <w:sz w:val="28"/>
          <w:szCs w:val="22"/>
          <w:u w:val="single"/>
        </w:rPr>
        <w:t>Analyse des candidatures</w:t>
      </w:r>
      <w:bookmarkEnd w:id="81"/>
    </w:p>
    <w:p w14:paraId="29949D09"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La sélection des candidatures est assurée par le Comité d’évaluation d’Expertise France et se déroule selon les modalités suivantes.</w:t>
      </w:r>
    </w:p>
    <w:p w14:paraId="45593B36"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application des dispositions de l'article R.2161-4 du code de la commande publique, le Comité </w:t>
      </w:r>
      <w:proofErr w:type="gramStart"/>
      <w:r>
        <w:rPr>
          <w:rFonts w:asciiTheme="minorHAnsi" w:hAnsiTheme="minorHAnsi" w:cstheme="minorHAnsi"/>
          <w:color w:val="000000"/>
          <w:sz w:val="22"/>
          <w:szCs w:val="22"/>
        </w:rPr>
        <w:t>d’évaluation  peut</w:t>
      </w:r>
      <w:proofErr w:type="gramEnd"/>
      <w:r>
        <w:rPr>
          <w:rFonts w:asciiTheme="minorHAnsi" w:hAnsiTheme="minorHAnsi" w:cstheme="minorHAnsi"/>
          <w:color w:val="000000"/>
          <w:sz w:val="22"/>
          <w:szCs w:val="22"/>
        </w:rPr>
        <w:t xml:space="preserve"> décider d'examiner les offres avant les candidatures.</w:t>
      </w:r>
    </w:p>
    <w:p w14:paraId="0B415166"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Dans ce cas, les documents justificatifs concernant l'aptitude et les capacités ainsi que les moyens de preuve relatifs aux motifs d'exclusion ne sont demandés par l’autorité contractante qu'au(x) soumissionnaire(s) auquel(s) il est envisagé d'attribuer le marché.]</w:t>
      </w:r>
    </w:p>
    <w:p w14:paraId="63DC742B" w14:textId="77777777" w:rsidR="004014A1" w:rsidRDefault="004014A1">
      <w:pPr>
        <w:jc w:val="both"/>
        <w:rPr>
          <w:rFonts w:asciiTheme="minorHAnsi" w:hAnsiTheme="minorHAnsi" w:cstheme="minorHAnsi"/>
          <w:color w:val="000000"/>
          <w:sz w:val="22"/>
          <w:szCs w:val="22"/>
        </w:rPr>
      </w:pPr>
    </w:p>
    <w:p w14:paraId="1B6185B7"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2" w:name="_Toc239327038"/>
      <w:r>
        <w:rPr>
          <w:rFonts w:asciiTheme="minorHAnsi" w:hAnsiTheme="minorHAnsi" w:cstheme="minorHAnsi"/>
          <w:sz w:val="22"/>
          <w:szCs w:val="22"/>
          <w:u w:val="single"/>
        </w:rPr>
        <w:t>Demande de compléments de candidature</w:t>
      </w:r>
      <w:bookmarkEnd w:id="82"/>
    </w:p>
    <w:p w14:paraId="07538D22"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absentes ou incomplètes, elle peut demander aux candidats concernés de compléter leur dossier de candidature dans un délai identique pour tous. Ce délai est précisé avec la demande de complément.</w:t>
      </w:r>
    </w:p>
    <w:p w14:paraId="2B5A080D"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Les candidatures incomplètes ou demeurées incomplètes à la suite d'une demande de compléments sont éliminées.</w:t>
      </w:r>
    </w:p>
    <w:p w14:paraId="37F3A521"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3" w:name="_Toc239327039"/>
      <w:r>
        <w:rPr>
          <w:rFonts w:asciiTheme="minorHAnsi" w:hAnsiTheme="minorHAnsi" w:cstheme="minorHAnsi"/>
          <w:sz w:val="22"/>
          <w:szCs w:val="22"/>
          <w:u w:val="single"/>
        </w:rPr>
        <w:t>Rejet des candidatures hors délais - Ouverture des plis</w:t>
      </w:r>
      <w:bookmarkEnd w:id="83"/>
    </w:p>
    <w:p w14:paraId="1912A4A1" w14:textId="77777777" w:rsidR="004014A1" w:rsidRDefault="00000000">
      <w:pPr>
        <w:spacing w:before="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candidats et la composition des plis déposés. </w:t>
      </w:r>
    </w:p>
    <w:p w14:paraId="7B426C75"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14:paraId="3E47B8A5"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4" w:name="_Toc239327040"/>
      <w:r>
        <w:rPr>
          <w:rFonts w:asciiTheme="minorHAnsi" w:hAnsiTheme="minorHAnsi" w:cstheme="minorHAnsi"/>
          <w:sz w:val="22"/>
          <w:szCs w:val="22"/>
          <w:u w:val="single"/>
        </w:rPr>
        <w:t>Recevabilité des candidatures</w:t>
      </w:r>
      <w:bookmarkEnd w:id="84"/>
    </w:p>
    <w:p w14:paraId="60835A65"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proofErr w:type="gramStart"/>
      <w:r>
        <w:rPr>
          <w:rFonts w:asciiTheme="minorHAnsi" w:hAnsiTheme="minorHAnsi" w:cstheme="minorHAnsi"/>
          <w:color w:val="000000"/>
          <w:sz w:val="22"/>
          <w:szCs w:val="22"/>
        </w:rPr>
        <w:t>participations,  Le</w:t>
      </w:r>
      <w:proofErr w:type="gramEnd"/>
      <w:r>
        <w:rPr>
          <w:rFonts w:asciiTheme="minorHAnsi" w:hAnsiTheme="minorHAnsi" w:cstheme="minorHAnsi"/>
          <w:color w:val="000000"/>
          <w:sz w:val="22"/>
          <w:szCs w:val="22"/>
        </w:rPr>
        <w:t xml:space="preserve"> Comité d’évaluation d’Expertise France procède à l'analyse des de la recevabilité des candidatures sur la base des critères de recevabilité suivants :</w:t>
      </w:r>
    </w:p>
    <w:p w14:paraId="2A2FC755" w14:textId="77777777" w:rsidR="004014A1" w:rsidRDefault="00000000">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Enregistrement du candidat au registre du commerce</w:t>
      </w:r>
    </w:p>
    <w:p w14:paraId="05FEDE46" w14:textId="77777777" w:rsidR="004014A1" w:rsidRDefault="00000000">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sociales du candidat</w:t>
      </w:r>
    </w:p>
    <w:p w14:paraId="1DA1E778" w14:textId="77777777" w:rsidR="004014A1" w:rsidRDefault="00000000">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fiscales du candidat</w:t>
      </w:r>
    </w:p>
    <w:p w14:paraId="6739975F" w14:textId="77777777" w:rsidR="004014A1" w:rsidRDefault="00000000">
      <w:pPr>
        <w:pStyle w:val="ListParagraph"/>
        <w:numPr>
          <w:ilvl w:val="0"/>
          <w:numId w:val="32"/>
        </w:numPr>
        <w:jc w:val="both"/>
        <w:rPr>
          <w:rFonts w:asciiTheme="minorHAnsi" w:hAnsiTheme="minorHAnsi" w:cstheme="minorHAnsi"/>
          <w:bCs/>
          <w:iCs/>
          <w:sz w:val="22"/>
          <w:szCs w:val="22"/>
        </w:rPr>
      </w:pPr>
      <w:r>
        <w:rPr>
          <w:rFonts w:asciiTheme="minorHAnsi" w:hAnsiTheme="minorHAnsi" w:cstheme="minorHAnsi"/>
          <w:color w:val="000000"/>
          <w:sz w:val="22"/>
          <w:szCs w:val="22"/>
        </w:rPr>
        <w:t xml:space="preserve">Le candidat ne doit pas se trouver dans une situation mentionnée des articles L. 2141-1 à L 2141-6 et L. 2141-7 à L. 2141-11 du Code de la commande publique et ne figurent pas </w:t>
      </w:r>
      <w:r>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 contractante</w:t>
      </w:r>
    </w:p>
    <w:p w14:paraId="2770FADE" w14:textId="77777777" w:rsidR="004014A1" w:rsidRDefault="00000000">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3454EAF2" w14:textId="77777777" w:rsidR="004014A1" w:rsidRDefault="00000000">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doit justifier d’une mise en œuvre suffisante des mesures techniques et organisationnelles appropriées, de sorte que le traitement des données à caractère personnel qu’il opère soit conforme aux obligations règlementaires et légales en matière de protection des données (RGPD et loi Informatique et Libertés) et garantisse bien à cet égard la protection des droits de la personne concernée </w:t>
      </w:r>
    </w:p>
    <w:p w14:paraId="38C606A7" w14:textId="77777777" w:rsidR="004014A1" w:rsidRDefault="00000000">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Les candidatures qui ne justifient pas de l'aptitude professionnelle et/ou qui ne disposent manifestement pas des capacités professionnelles, techniques ou financières suffisantes demandées pour cette consultation sont éliminées. </w:t>
      </w:r>
    </w:p>
    <w:p w14:paraId="1FFA0C1D"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5" w:name="_Toc239327041"/>
      <w:r>
        <w:rPr>
          <w:rFonts w:asciiTheme="minorHAnsi" w:hAnsiTheme="minorHAnsi" w:cstheme="minorHAnsi"/>
          <w:b/>
          <w:caps/>
          <w:sz w:val="28"/>
          <w:szCs w:val="22"/>
          <w:u w:val="single"/>
        </w:rPr>
        <w:t>Evaluation des offres, négociation et attribution</w:t>
      </w:r>
      <w:bookmarkEnd w:id="85"/>
    </w:p>
    <w:p w14:paraId="56AF6709"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La procédure de sélection des offres est assurée par le Comité d’évaluation d’Expertise France et se déroule selon les modalités suivantes :</w:t>
      </w:r>
    </w:p>
    <w:p w14:paraId="2210AE72"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6" w:name="_Toc239327042"/>
      <w:r>
        <w:rPr>
          <w:rFonts w:asciiTheme="minorHAnsi" w:hAnsiTheme="minorHAnsi" w:cstheme="minorHAnsi"/>
          <w:sz w:val="22"/>
          <w:szCs w:val="22"/>
          <w:u w:val="single"/>
        </w:rPr>
        <w:t>Rejet des offres hors délais - Ouverture des offres</w:t>
      </w:r>
      <w:bookmarkEnd w:id="86"/>
    </w:p>
    <w:p w14:paraId="75010DA6"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soumissionnaires et la composition des plis déposés. </w:t>
      </w:r>
    </w:p>
    <w:p w14:paraId="44758906"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14:paraId="6C167E6C"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7" w:name="_Toc239327043"/>
      <w:r>
        <w:rPr>
          <w:rFonts w:asciiTheme="minorHAnsi" w:hAnsiTheme="minorHAnsi" w:cstheme="minorHAnsi"/>
          <w:sz w:val="22"/>
          <w:szCs w:val="22"/>
          <w:u w:val="single"/>
        </w:rPr>
        <w:t>Analyse des offres</w:t>
      </w:r>
      <w:bookmarkEnd w:id="87"/>
    </w:p>
    <w:p w14:paraId="35FCEDDF"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Après avoir vérifié que les offres reçues sont régulières, acceptables et appropriées, le Comité d’évaluation d’Expertise France procède à l'analyse des offres des soumissionnaires retenus en application des critères définis ci-après.</w:t>
      </w:r>
    </w:p>
    <w:p w14:paraId="433E4892" w14:textId="77777777" w:rsidR="004014A1" w:rsidRDefault="004014A1">
      <w:pPr>
        <w:jc w:val="both"/>
        <w:rPr>
          <w:rFonts w:asciiTheme="minorHAnsi" w:hAnsiTheme="minorHAnsi" w:cstheme="minorHAnsi"/>
          <w:color w:val="000000"/>
          <w:sz w:val="22"/>
          <w:szCs w:val="22"/>
        </w:rPr>
      </w:pPr>
    </w:p>
    <w:p w14:paraId="4772EA98" w14:textId="77777777" w:rsidR="004014A1" w:rsidRDefault="00000000">
      <w:pPr>
        <w:jc w:val="both"/>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Régularisation des offres </w:t>
      </w:r>
    </w:p>
    <w:p w14:paraId="1E9EB618" w14:textId="77777777" w:rsidR="004014A1" w:rsidRDefault="004014A1">
      <w:pPr>
        <w:jc w:val="both"/>
        <w:rPr>
          <w:rFonts w:asciiTheme="minorHAnsi" w:hAnsiTheme="minorHAnsi" w:cstheme="minorHAnsi"/>
          <w:color w:val="000000"/>
          <w:sz w:val="22"/>
          <w:szCs w:val="22"/>
        </w:rPr>
      </w:pPr>
    </w:p>
    <w:p w14:paraId="49BC6746"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5BD2B6E1" w14:textId="77777777" w:rsidR="004014A1" w:rsidRDefault="004014A1">
      <w:pPr>
        <w:jc w:val="both"/>
        <w:rPr>
          <w:rFonts w:asciiTheme="minorHAnsi" w:hAnsiTheme="minorHAnsi" w:cstheme="minorHAnsi"/>
          <w:color w:val="000000"/>
          <w:sz w:val="22"/>
          <w:szCs w:val="22"/>
        </w:rPr>
      </w:pPr>
    </w:p>
    <w:p w14:paraId="3DBEB665"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586826AB" w14:textId="77777777" w:rsidR="004014A1" w:rsidRDefault="004014A1">
      <w:pPr>
        <w:jc w:val="both"/>
        <w:rPr>
          <w:rFonts w:asciiTheme="minorHAnsi" w:hAnsiTheme="minorHAnsi" w:cstheme="minorHAnsi"/>
          <w:color w:val="000000"/>
          <w:sz w:val="22"/>
          <w:szCs w:val="22"/>
        </w:rPr>
      </w:pPr>
    </w:p>
    <w:p w14:paraId="2EA05021"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À défaut de régularisation dans le délai imparti, l’offre est écartée comme irrégulière.</w:t>
      </w:r>
    </w:p>
    <w:p w14:paraId="572ECBF1" w14:textId="77777777" w:rsidR="004014A1" w:rsidRDefault="004014A1">
      <w:pPr>
        <w:jc w:val="both"/>
        <w:rPr>
          <w:rFonts w:asciiTheme="minorHAnsi" w:hAnsiTheme="minorHAnsi" w:cstheme="minorHAnsi"/>
          <w:color w:val="000000"/>
          <w:sz w:val="22"/>
          <w:szCs w:val="22"/>
        </w:rPr>
      </w:pPr>
    </w:p>
    <w:p w14:paraId="3952C11B"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8" w:name="_Toc239327044"/>
      <w:r>
        <w:rPr>
          <w:rFonts w:asciiTheme="minorHAnsi" w:hAnsiTheme="minorHAnsi" w:cstheme="minorHAnsi"/>
          <w:sz w:val="22"/>
          <w:szCs w:val="22"/>
          <w:u w:val="single"/>
        </w:rPr>
        <w:t>Rejet des offres irrégulières, inacceptables et inappropriées</w:t>
      </w:r>
      <w:bookmarkEnd w:id="88"/>
    </w:p>
    <w:p w14:paraId="36C6F982" w14:textId="77777777" w:rsidR="004014A1" w:rsidRDefault="00000000">
      <w:pPr>
        <w:jc w:val="both"/>
        <w:rPr>
          <w:rFonts w:asciiTheme="minorHAnsi" w:hAnsiTheme="minorHAnsi" w:cstheme="minorHAnsi"/>
          <w:color w:val="000000"/>
          <w:sz w:val="22"/>
          <w:szCs w:val="22"/>
        </w:rPr>
      </w:pPr>
      <w:r>
        <w:rPr>
          <w:rFonts w:asciiTheme="minorHAnsi" w:hAnsiTheme="minorHAnsi" w:cstheme="minorHAnsi"/>
          <w:color w:val="000000"/>
          <w:sz w:val="22"/>
          <w:szCs w:val="22"/>
        </w:rPr>
        <w:t>Le Comité d’évaluation procède à l’examen des offres reçues et, en application de l’article R.2152-1 du code de la commande publique, rejette les offres jugées irrégulières, inacceptables ou inappropriées, le cas échéant après mise en œuvre de la procédure de régularisation prévue à l’article R.2152-2 du même code.</w:t>
      </w:r>
    </w:p>
    <w:p w14:paraId="0A5EBBC2"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89" w:name="_Toc239327045"/>
      <w:r>
        <w:rPr>
          <w:rFonts w:asciiTheme="minorHAnsi" w:hAnsiTheme="minorHAnsi" w:cstheme="minorHAnsi"/>
          <w:sz w:val="22"/>
          <w:szCs w:val="22"/>
          <w:u w:val="single"/>
        </w:rPr>
        <w:t>Comparaison des offres pour sélection de l’offre économiquement la plus avantageuse</w:t>
      </w:r>
      <w:bookmarkEnd w:id="89"/>
    </w:p>
    <w:p w14:paraId="6F55B88C" w14:textId="77777777" w:rsidR="004014A1" w:rsidRDefault="00000000">
      <w:pPr>
        <w:spacing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4695C01B"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90" w:name="_Toc239327046"/>
      <w:r>
        <w:rPr>
          <w:rFonts w:asciiTheme="minorHAnsi" w:hAnsiTheme="minorHAnsi" w:cstheme="minorHAnsi"/>
          <w:i/>
          <w:sz w:val="22"/>
          <w:szCs w:val="22"/>
        </w:rPr>
        <w:t>Critère 1 : prix des prestations</w:t>
      </w:r>
      <w:bookmarkEnd w:id="90"/>
      <w:r>
        <w:rPr>
          <w:rFonts w:asciiTheme="minorHAnsi" w:hAnsiTheme="minorHAnsi" w:cstheme="minorHAnsi"/>
          <w:i/>
          <w:sz w:val="22"/>
          <w:szCs w:val="22"/>
        </w:rPr>
        <w:t xml:space="preserve"> </w:t>
      </w:r>
    </w:p>
    <w:p w14:paraId="79F79F5A" w14:textId="77777777" w:rsidR="004014A1" w:rsidRDefault="00000000">
      <w:pPr>
        <w:spacing w:before="120"/>
        <w:jc w:val="both"/>
        <w:rPr>
          <w:rFonts w:asciiTheme="minorHAnsi" w:hAnsiTheme="minorHAnsi" w:cstheme="minorHAnsi"/>
          <w:b/>
          <w:color w:val="000000"/>
          <w:sz w:val="22"/>
          <w:szCs w:val="22"/>
        </w:rPr>
      </w:pPr>
      <w:r>
        <w:rPr>
          <w:rFonts w:asciiTheme="minorHAnsi" w:hAnsiTheme="minorHAnsi" w:cstheme="minorHAnsi"/>
          <w:sz w:val="22"/>
          <w:szCs w:val="22"/>
        </w:rPr>
        <w:t xml:space="preserve">La </w:t>
      </w:r>
      <w:r>
        <w:rPr>
          <w:rFonts w:asciiTheme="minorHAnsi" w:hAnsiTheme="minorHAnsi" w:cstheme="minorHAnsi"/>
          <w:b/>
          <w:sz w:val="22"/>
          <w:szCs w:val="22"/>
        </w:rPr>
        <w:t>notation financière (NF sur 20 points maximum)</w:t>
      </w:r>
      <w:r>
        <w:rPr>
          <w:rFonts w:asciiTheme="minorHAnsi" w:hAnsiTheme="minorHAnsi" w:cstheme="minorHAnsi"/>
          <w:sz w:val="22"/>
          <w:szCs w:val="22"/>
        </w:rPr>
        <w:t xml:space="preserve"> portera sur la comparaison des offres financières de l’ensemble des candidats dont l’offre est régulière.</w:t>
      </w:r>
    </w:p>
    <w:p w14:paraId="2BA92DD7" w14:textId="77777777" w:rsidR="004014A1" w:rsidRDefault="00000000">
      <w:pPr>
        <w:pStyle w:val="Heading2"/>
        <w:spacing w:before="120" w:after="120" w:line="240" w:lineRule="auto"/>
        <w:ind w:left="708"/>
        <w:jc w:val="both"/>
        <w:rPr>
          <w:rFonts w:asciiTheme="minorHAnsi" w:hAnsiTheme="minorHAnsi" w:cstheme="minorHAnsi"/>
          <w:i/>
          <w:sz w:val="22"/>
          <w:szCs w:val="22"/>
        </w:rPr>
      </w:pPr>
      <w:bookmarkStart w:id="91" w:name="_Toc239327047"/>
      <w:r>
        <w:rPr>
          <w:rFonts w:asciiTheme="minorHAnsi" w:hAnsiTheme="minorHAnsi" w:cstheme="minorHAnsi"/>
          <w:i/>
          <w:sz w:val="22"/>
          <w:szCs w:val="22"/>
        </w:rPr>
        <w:t>Critère 2 : Qualité technique</w:t>
      </w:r>
      <w:bookmarkEnd w:id="91"/>
    </w:p>
    <w:p w14:paraId="14506B8C" w14:textId="77777777" w:rsidR="004014A1" w:rsidRDefault="004014A1">
      <w:pPr>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6654"/>
        <w:gridCol w:w="2692"/>
      </w:tblGrid>
      <w:tr w:rsidR="004014A1" w14:paraId="2724E407" w14:textId="77777777">
        <w:tc>
          <w:tcPr>
            <w:tcW w:w="6654" w:type="dxa"/>
            <w:shd w:val="clear" w:color="auto" w:fill="D9D9D9" w:themeFill="background1" w:themeFillShade="D9"/>
          </w:tcPr>
          <w:p w14:paraId="6C3A968D" w14:textId="77777777" w:rsidR="004014A1" w:rsidRDefault="00000000">
            <w:pPr>
              <w:jc w:val="both"/>
              <w:rPr>
                <w:rFonts w:asciiTheme="minorHAnsi" w:hAnsiTheme="minorHAnsi" w:cstheme="minorHAnsi"/>
                <w:b/>
                <w:sz w:val="22"/>
                <w:szCs w:val="22"/>
              </w:rPr>
            </w:pPr>
            <w:r>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1EAE7E02" w14:textId="77777777" w:rsidR="004014A1" w:rsidRDefault="00000000">
            <w:pPr>
              <w:jc w:val="center"/>
              <w:rPr>
                <w:rFonts w:asciiTheme="minorHAnsi" w:hAnsiTheme="minorHAnsi" w:cstheme="minorHAnsi"/>
                <w:b/>
                <w:sz w:val="22"/>
                <w:szCs w:val="22"/>
              </w:rPr>
            </w:pPr>
            <w:r>
              <w:rPr>
                <w:rFonts w:asciiTheme="minorHAnsi" w:hAnsiTheme="minorHAnsi" w:cstheme="minorHAnsi"/>
                <w:b/>
                <w:sz w:val="22"/>
                <w:szCs w:val="22"/>
              </w:rPr>
              <w:t>Nombre de points maximum</w:t>
            </w:r>
          </w:p>
        </w:tc>
      </w:tr>
      <w:tr w:rsidR="004014A1" w14:paraId="6FA7E002" w14:textId="77777777">
        <w:tc>
          <w:tcPr>
            <w:tcW w:w="6654" w:type="dxa"/>
          </w:tcPr>
          <w:p w14:paraId="4D4C9717" w14:textId="77777777" w:rsidR="004014A1" w:rsidRDefault="00000000">
            <w:pPr>
              <w:jc w:val="both"/>
              <w:rPr>
                <w:rFonts w:asciiTheme="minorHAnsi" w:hAnsiTheme="minorHAnsi" w:cstheme="minorHAnsi"/>
                <w:sz w:val="22"/>
                <w:szCs w:val="22"/>
              </w:rPr>
            </w:pPr>
            <w:r>
              <w:rPr>
                <w:rFonts w:asciiTheme="minorHAnsi" w:hAnsiTheme="minorHAnsi" w:cstheme="minorHAnsi"/>
                <w:sz w:val="22"/>
                <w:szCs w:val="22"/>
              </w:rPr>
              <w:lastRenderedPageBreak/>
              <w:t>Sous-critère 1 : Compréhension des objectifs du projet et du contexte</w:t>
            </w:r>
          </w:p>
          <w:p w14:paraId="0E4D3030" w14:textId="77777777" w:rsidR="004014A1" w:rsidRDefault="00000000">
            <w:pPr>
              <w:jc w:val="both"/>
              <w:rPr>
                <w:rFonts w:asciiTheme="minorHAnsi" w:hAnsiTheme="minorHAnsi" w:cstheme="minorHAnsi"/>
                <w:sz w:val="22"/>
                <w:szCs w:val="22"/>
              </w:rPr>
            </w:pPr>
            <w:proofErr w:type="gramStart"/>
            <w:r>
              <w:rPr>
                <w:rFonts w:asciiTheme="minorHAnsi" w:hAnsiTheme="minorHAnsi" w:cstheme="minorHAnsi"/>
                <w:sz w:val="22"/>
                <w:szCs w:val="22"/>
              </w:rPr>
              <w:t>du</w:t>
            </w:r>
            <w:proofErr w:type="gramEnd"/>
            <w:r>
              <w:rPr>
                <w:rFonts w:asciiTheme="minorHAnsi" w:hAnsiTheme="minorHAnsi" w:cstheme="minorHAnsi"/>
                <w:sz w:val="22"/>
                <w:szCs w:val="22"/>
              </w:rPr>
              <w:t xml:space="preserve"> besoin et pertinence de l'approche proposée, appréciées au regard de l'analyse des attentes exprimées, de l'identification des contraintes et de la cohérence des réponses apportées. </w:t>
            </w:r>
          </w:p>
        </w:tc>
        <w:tc>
          <w:tcPr>
            <w:tcW w:w="2692" w:type="dxa"/>
          </w:tcPr>
          <w:p w14:paraId="423E6B51" w14:textId="77777777" w:rsidR="004014A1" w:rsidRDefault="00000000">
            <w:pPr>
              <w:jc w:val="center"/>
              <w:rPr>
                <w:rFonts w:asciiTheme="minorHAnsi" w:hAnsiTheme="minorHAnsi" w:cstheme="minorHAnsi"/>
                <w:b/>
                <w:sz w:val="22"/>
                <w:szCs w:val="22"/>
              </w:rPr>
            </w:pPr>
            <w:r>
              <w:rPr>
                <w:rFonts w:asciiTheme="minorHAnsi" w:hAnsiTheme="minorHAnsi" w:cstheme="minorHAnsi"/>
                <w:b/>
                <w:sz w:val="22"/>
                <w:szCs w:val="22"/>
              </w:rPr>
              <w:t>10</w:t>
            </w:r>
          </w:p>
        </w:tc>
      </w:tr>
      <w:tr w:rsidR="004014A1" w14:paraId="097D5312" w14:textId="77777777">
        <w:tc>
          <w:tcPr>
            <w:tcW w:w="6654" w:type="dxa"/>
          </w:tcPr>
          <w:p w14:paraId="1649A7E9" w14:textId="77777777" w:rsidR="004014A1" w:rsidRDefault="00000000">
            <w:pPr>
              <w:jc w:val="both"/>
              <w:rPr>
                <w:rFonts w:asciiTheme="minorHAnsi" w:hAnsiTheme="minorHAnsi" w:cstheme="minorHAnsi"/>
                <w:sz w:val="22"/>
                <w:szCs w:val="22"/>
              </w:rPr>
            </w:pPr>
            <w:r>
              <w:rPr>
                <w:rFonts w:asciiTheme="minorHAnsi" w:hAnsiTheme="minorHAnsi" w:cstheme="minorHAnsi"/>
                <w:sz w:val="22"/>
                <w:szCs w:val="22"/>
              </w:rPr>
              <w:t>Sous-critère 2 : Qualité de la méthodologie, clarté et niveau de détail du plan de travail proposé, ainsi que sa cohérence avec le délai d'exécution spécifié dans le cahier des charges</w:t>
            </w:r>
          </w:p>
        </w:tc>
        <w:tc>
          <w:tcPr>
            <w:tcW w:w="2692" w:type="dxa"/>
          </w:tcPr>
          <w:p w14:paraId="22BB60CD" w14:textId="77777777" w:rsidR="004014A1" w:rsidRDefault="00000000">
            <w:pPr>
              <w:jc w:val="center"/>
              <w:rPr>
                <w:rFonts w:asciiTheme="minorHAnsi" w:hAnsiTheme="minorHAnsi" w:cstheme="minorHAnsi"/>
                <w:b/>
                <w:sz w:val="22"/>
                <w:szCs w:val="22"/>
              </w:rPr>
            </w:pPr>
            <w:r>
              <w:rPr>
                <w:rFonts w:asciiTheme="minorHAnsi" w:hAnsiTheme="minorHAnsi" w:cstheme="minorHAnsi"/>
                <w:b/>
                <w:sz w:val="22"/>
                <w:szCs w:val="22"/>
              </w:rPr>
              <w:t>30</w:t>
            </w:r>
          </w:p>
        </w:tc>
      </w:tr>
      <w:tr w:rsidR="004014A1" w14:paraId="1F90529D" w14:textId="77777777">
        <w:tc>
          <w:tcPr>
            <w:tcW w:w="6654" w:type="dxa"/>
          </w:tcPr>
          <w:p w14:paraId="27E88EAA" w14:textId="77777777" w:rsidR="004014A1" w:rsidRDefault="00000000">
            <w:pPr>
              <w:jc w:val="both"/>
              <w:rPr>
                <w:rFonts w:asciiTheme="minorHAnsi" w:hAnsiTheme="minorHAnsi" w:cstheme="minorHAnsi"/>
                <w:sz w:val="22"/>
                <w:szCs w:val="22"/>
              </w:rPr>
            </w:pPr>
            <w:r>
              <w:rPr>
                <w:rFonts w:asciiTheme="minorHAnsi" w:hAnsiTheme="minorHAnsi" w:cstheme="minorHAnsi"/>
                <w:sz w:val="22"/>
                <w:szCs w:val="22"/>
              </w:rPr>
              <w:t>Sous-critère 3 : Pertinence et adéquation de l'équipe proposée, évaluées au regard du profil des experts désignés pour réaliser la prestation telle que décrite dans le cahier des charges. L'expert principal doit justifier d'une expérience avérée dans la réalisation d'audits énergétiques ou d'évaluations énergétiques d'installations publiques, commerciales, institutionnelles ou municipales.</w:t>
            </w:r>
          </w:p>
        </w:tc>
        <w:tc>
          <w:tcPr>
            <w:tcW w:w="2692" w:type="dxa"/>
          </w:tcPr>
          <w:p w14:paraId="1FB5E148" w14:textId="77777777" w:rsidR="004014A1" w:rsidRDefault="00000000">
            <w:pPr>
              <w:jc w:val="center"/>
              <w:rPr>
                <w:rFonts w:asciiTheme="minorHAnsi" w:hAnsiTheme="minorHAnsi" w:cstheme="minorHAnsi"/>
                <w:b/>
                <w:sz w:val="22"/>
                <w:szCs w:val="22"/>
              </w:rPr>
            </w:pPr>
            <w:r>
              <w:rPr>
                <w:rFonts w:asciiTheme="minorHAnsi" w:hAnsiTheme="minorHAnsi" w:cstheme="minorHAnsi"/>
                <w:b/>
                <w:sz w:val="22"/>
                <w:szCs w:val="22"/>
              </w:rPr>
              <w:t>35</w:t>
            </w:r>
          </w:p>
        </w:tc>
      </w:tr>
      <w:tr w:rsidR="004014A1" w14:paraId="2CB731BA" w14:textId="77777777">
        <w:trPr>
          <w:trHeight w:val="300"/>
        </w:trPr>
        <w:tc>
          <w:tcPr>
            <w:tcW w:w="6654" w:type="dxa"/>
            <w:vMerge w:val="restart"/>
          </w:tcPr>
          <w:p w14:paraId="7EBE0123" w14:textId="77777777" w:rsidR="004014A1" w:rsidRDefault="00000000">
            <w:pPr>
              <w:jc w:val="both"/>
              <w:rPr>
                <w:rFonts w:asciiTheme="minorHAnsi" w:hAnsiTheme="minorHAnsi" w:cstheme="minorHAnsi"/>
                <w:sz w:val="22"/>
                <w:szCs w:val="22"/>
              </w:rPr>
            </w:pPr>
            <w:r>
              <w:rPr>
                <w:rFonts w:asciiTheme="minorHAnsi" w:hAnsiTheme="minorHAnsi" w:cstheme="minorHAnsi"/>
                <w:sz w:val="22"/>
                <w:szCs w:val="22"/>
              </w:rPr>
              <w:t>Sous-critère 4 : Performance environnementale : le critère appréciera les mesures proposées pour limiter l'impact environnemental, lutter contre la déforestation durant l'exécution des prestations.</w:t>
            </w:r>
          </w:p>
        </w:tc>
        <w:tc>
          <w:tcPr>
            <w:tcW w:w="2692" w:type="dxa"/>
            <w:vMerge w:val="restart"/>
          </w:tcPr>
          <w:p w14:paraId="5A3E8D15" w14:textId="77777777" w:rsidR="004014A1" w:rsidRDefault="00000000">
            <w:pPr>
              <w:jc w:val="center"/>
              <w:rPr>
                <w:rFonts w:asciiTheme="minorHAnsi" w:hAnsiTheme="minorHAnsi" w:cstheme="minorHAnsi"/>
                <w:b/>
                <w:sz w:val="22"/>
                <w:szCs w:val="22"/>
              </w:rPr>
            </w:pPr>
            <w:r>
              <w:rPr>
                <w:rFonts w:asciiTheme="minorHAnsi" w:hAnsiTheme="minorHAnsi" w:cstheme="minorHAnsi"/>
                <w:b/>
                <w:sz w:val="22"/>
                <w:szCs w:val="22"/>
              </w:rPr>
              <w:t>5</w:t>
            </w:r>
          </w:p>
        </w:tc>
      </w:tr>
      <w:tr w:rsidR="004014A1" w14:paraId="5BF2E3B2" w14:textId="77777777">
        <w:tc>
          <w:tcPr>
            <w:tcW w:w="6654" w:type="dxa"/>
          </w:tcPr>
          <w:p w14:paraId="0AFB70E9" w14:textId="77777777" w:rsidR="004014A1" w:rsidRDefault="00000000">
            <w:pPr>
              <w:jc w:val="right"/>
              <w:rPr>
                <w:rFonts w:asciiTheme="minorHAnsi" w:hAnsiTheme="minorHAnsi" w:cstheme="minorHAnsi"/>
                <w:b/>
                <w:sz w:val="22"/>
                <w:szCs w:val="22"/>
              </w:rPr>
            </w:pPr>
            <w:r>
              <w:rPr>
                <w:rFonts w:asciiTheme="minorHAnsi" w:hAnsiTheme="minorHAnsi" w:cstheme="minorHAnsi"/>
                <w:b/>
                <w:sz w:val="22"/>
                <w:szCs w:val="22"/>
              </w:rPr>
              <w:t>TOTAL</w:t>
            </w:r>
          </w:p>
        </w:tc>
        <w:tc>
          <w:tcPr>
            <w:tcW w:w="2692" w:type="dxa"/>
          </w:tcPr>
          <w:p w14:paraId="6B2740EE" w14:textId="77777777" w:rsidR="004014A1" w:rsidRDefault="00000000">
            <w:pPr>
              <w:jc w:val="center"/>
              <w:rPr>
                <w:rFonts w:asciiTheme="minorHAnsi" w:hAnsiTheme="minorHAnsi" w:cstheme="minorHAnsi"/>
                <w:b/>
                <w:sz w:val="22"/>
                <w:szCs w:val="22"/>
              </w:rPr>
            </w:pPr>
            <w:r>
              <w:rPr>
                <w:rFonts w:asciiTheme="minorHAnsi" w:hAnsiTheme="minorHAnsi" w:cstheme="minorHAnsi"/>
                <w:b/>
                <w:sz w:val="22"/>
                <w:szCs w:val="22"/>
              </w:rPr>
              <w:t>80</w:t>
            </w:r>
          </w:p>
        </w:tc>
      </w:tr>
    </w:tbl>
    <w:p w14:paraId="1015F99C" w14:textId="77777777" w:rsidR="004014A1" w:rsidRDefault="004014A1">
      <w:pPr>
        <w:spacing w:before="120"/>
        <w:jc w:val="both"/>
        <w:rPr>
          <w:rFonts w:asciiTheme="minorHAnsi" w:hAnsiTheme="minorHAnsi" w:cstheme="minorHAnsi"/>
          <w:sz w:val="22"/>
          <w:szCs w:val="22"/>
        </w:rPr>
      </w:pPr>
    </w:p>
    <w:p w14:paraId="36159643" w14:textId="77777777" w:rsidR="004014A1" w:rsidRDefault="00000000">
      <w:pPr>
        <w:spacing w:before="120"/>
        <w:jc w:val="both"/>
        <w:rPr>
          <w:rFonts w:asciiTheme="minorHAnsi" w:hAnsiTheme="minorHAnsi" w:cstheme="minorHAnsi"/>
          <w:sz w:val="22"/>
          <w:szCs w:val="22"/>
        </w:rPr>
      </w:pPr>
      <w:r>
        <w:rPr>
          <w:rFonts w:asciiTheme="minorHAnsi" w:hAnsiTheme="minorHAnsi" w:cstheme="minorHAnsi"/>
          <w:sz w:val="22"/>
          <w:szCs w:val="22"/>
        </w:rPr>
        <w:t xml:space="preserve">Chaque offre technique, jugée conforme techniquement, se verra attribuer une </w:t>
      </w:r>
      <w:r>
        <w:rPr>
          <w:rFonts w:asciiTheme="minorHAnsi" w:hAnsiTheme="minorHAnsi" w:cstheme="minorHAnsi"/>
          <w:b/>
          <w:sz w:val="22"/>
          <w:szCs w:val="22"/>
        </w:rPr>
        <w:t xml:space="preserve">note technique (NT sur 80 points maximum) </w:t>
      </w:r>
      <w:r>
        <w:rPr>
          <w:rFonts w:asciiTheme="minorHAnsi" w:hAnsiTheme="minorHAnsi" w:cstheme="minorHAnsi"/>
          <w:sz w:val="22"/>
          <w:szCs w:val="22"/>
        </w:rPr>
        <w:t>par addition des notes pondérées obtenues sur chaque sous-critère.</w:t>
      </w:r>
    </w:p>
    <w:p w14:paraId="753251D7" w14:textId="77777777" w:rsidR="004014A1" w:rsidRDefault="00000000">
      <w:pPr>
        <w:spacing w:before="120"/>
        <w:jc w:val="both"/>
        <w:rPr>
          <w:rFonts w:asciiTheme="minorHAnsi" w:hAnsiTheme="minorHAnsi" w:cstheme="minorHAnsi"/>
          <w:sz w:val="22"/>
          <w:szCs w:val="22"/>
        </w:rPr>
      </w:pPr>
      <w:r>
        <w:rPr>
          <w:rFonts w:asciiTheme="minorHAnsi" w:hAnsiTheme="minorHAnsi" w:cstheme="minorHAnsi"/>
          <w:sz w:val="22"/>
        </w:rPr>
        <w:t>Un seuil minimal de qualité technique est fixé à 50 points sur 80. Les offres n'atteignant pas ce seuil seront éliminées avant l'analyse du critère prix et ne seront pas retenues pour le classement final</w:t>
      </w:r>
    </w:p>
    <w:p w14:paraId="267AAC94" w14:textId="77777777" w:rsidR="004014A1" w:rsidRDefault="004014A1">
      <w:pPr>
        <w:spacing w:before="120"/>
        <w:jc w:val="both"/>
        <w:rPr>
          <w:rFonts w:asciiTheme="minorHAnsi" w:hAnsiTheme="minorHAnsi" w:cstheme="minorHAnsi"/>
          <w:sz w:val="22"/>
          <w:szCs w:val="22"/>
        </w:rPr>
      </w:pPr>
    </w:p>
    <w:p w14:paraId="4B3B6CD3"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92" w:name="_Toc239327048"/>
      <w:r>
        <w:rPr>
          <w:rFonts w:asciiTheme="minorHAnsi" w:hAnsiTheme="minorHAnsi" w:cstheme="minorHAnsi"/>
          <w:sz w:val="22"/>
          <w:szCs w:val="22"/>
          <w:u w:val="single"/>
        </w:rPr>
        <w:t>Négociations</w:t>
      </w:r>
      <w:bookmarkEnd w:id="92"/>
    </w:p>
    <w:p w14:paraId="41CACA4C"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Expertise France se réserve la possibilité d’engager une négociation dans les conditions fixées par le présent règlement de la consultation.</w:t>
      </w:r>
    </w:p>
    <w:p w14:paraId="1BBF91D0"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Si la négociation est mise en œuvre, elle pourra être conduite soit avec l’ensemble des soumissionnaires ayant remis une offre, soit avec un nombre limité de soumissionnaires ayant remis une offre régulière ou une offre ayant pu être régularisée dans les conditions prévues au présent règlement, sélectionnés sur la base des critères d’attribution définis dans les documents de la consultation, dans la limite des 3 offres les mieux classées.</w:t>
      </w:r>
    </w:p>
    <w:p w14:paraId="1F49A7FD"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 négociation pourra porter sur les éléments techniques, administratifs, calendaires et financiers de l’offre, notamment sur les modalités d’exécution des prestations, l’organisation et la méthodologie proposées, les moyens affectés à l’exécution du marché, les délais et le phasage, les engagements de qualité ou de performance, ainsi que sur les aspects financiers de l’offre, notamment le prix et ses composantes.</w:t>
      </w:r>
    </w:p>
    <w:p w14:paraId="67BE5D10"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 négociation ne pourra toutefois porter ni sur l’objet du marché, ni sur les exigences minimales définies dans les documents de la consultation, ni sur les critères d’attribution, ni sur leurs modalités de mise en œuvre.</w:t>
      </w:r>
    </w:p>
    <w:p w14:paraId="0D052BF2"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soumissionnaires admis à négocier seront convoqués par écrit. La séance de négociation se tiendra par visioconférence, sous réserve de confirmation écrite adressée aux soumissionnaires au plus tard 3 jours calendaires avant la date retenue. Les soumissionnaires seront reçus individuellement, selon les modalités d’organisation arrêtées par Expertise France, dans le respect du principe d’égalité de traitement.</w:t>
      </w:r>
    </w:p>
    <w:p w14:paraId="1A73A36E"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Chaque soumissionnaire disposera d’un temps de présentation de 40 minutes maximum portant sur tout point de son choix en lien avec l’offre remise. Le reste de l’entretien sera consacré aux questions et échanges relatifs aux seuls éléments négociables de l’offre.</w:t>
      </w:r>
    </w:p>
    <w:p w14:paraId="6151757F"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négociation et présentant un caractère confidentiel ne seront pas divulguées aux autres soumissionnaires sans son accord préalable.</w:t>
      </w:r>
    </w:p>
    <w:p w14:paraId="0D156E5E"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14:paraId="0A37CED7"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une offre révisée tenant compte des échanges intervenus. En l’absence de remise d’une offre révisée dans le délai imparti, l’offre précédemment remise sera réputée maintenue, sauf indication contraire figurant dans l’invitation à remettre une offre révisée. </w:t>
      </w:r>
    </w:p>
    <w:p w14:paraId="1A06B48C" w14:textId="77777777" w:rsidR="004014A1" w:rsidRDefault="00000000">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également la possibilité d’attribuer le marché sans négociation. </w:t>
      </w:r>
    </w:p>
    <w:p w14:paraId="0E49194F" w14:textId="77777777" w:rsidR="004014A1" w:rsidRDefault="004014A1">
      <w:pPr>
        <w:spacing w:before="120" w:line="240" w:lineRule="auto"/>
        <w:jc w:val="both"/>
        <w:rPr>
          <w:rFonts w:asciiTheme="minorHAnsi" w:hAnsiTheme="minorHAnsi" w:cstheme="minorHAnsi"/>
          <w:sz w:val="22"/>
          <w:szCs w:val="22"/>
        </w:rPr>
      </w:pPr>
    </w:p>
    <w:p w14:paraId="255C92E4" w14:textId="77777777" w:rsidR="004014A1" w:rsidRDefault="00000000">
      <w:pPr>
        <w:pStyle w:val="Heading2"/>
        <w:spacing w:before="120" w:after="120" w:line="240" w:lineRule="auto"/>
        <w:jc w:val="both"/>
        <w:rPr>
          <w:rFonts w:asciiTheme="minorHAnsi" w:hAnsiTheme="minorHAnsi" w:cstheme="minorHAnsi"/>
          <w:caps/>
          <w:sz w:val="28"/>
          <w:szCs w:val="22"/>
          <w:u w:val="single"/>
        </w:rPr>
      </w:pPr>
      <w:bookmarkStart w:id="93" w:name="_Toc239327049"/>
      <w:r>
        <w:rPr>
          <w:rFonts w:asciiTheme="minorHAnsi" w:hAnsiTheme="minorHAnsi" w:cstheme="minorHAnsi"/>
          <w:sz w:val="22"/>
          <w:szCs w:val="22"/>
          <w:u w:val="single"/>
        </w:rPr>
        <w:t>Attribution</w:t>
      </w:r>
      <w:bookmarkEnd w:id="93"/>
      <w:r>
        <w:rPr>
          <w:rFonts w:asciiTheme="minorHAnsi" w:hAnsiTheme="minorHAnsi" w:cstheme="minorHAnsi"/>
          <w:b w:val="0"/>
          <w:caps/>
          <w:sz w:val="28"/>
          <w:szCs w:val="22"/>
          <w:u w:val="single"/>
        </w:rPr>
        <w:t xml:space="preserve"> </w:t>
      </w:r>
    </w:p>
    <w:p w14:paraId="6B7BE83A"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Une </w:t>
      </w:r>
      <w:r>
        <w:rPr>
          <w:rFonts w:asciiTheme="minorHAnsi" w:hAnsiTheme="minorHAnsi" w:cstheme="minorHAnsi"/>
          <w:b/>
          <w:sz w:val="22"/>
          <w:szCs w:val="22"/>
        </w:rPr>
        <w:t>note globale (NG sur un maximum de 100 points)</w:t>
      </w:r>
      <w:r>
        <w:rPr>
          <w:rFonts w:asciiTheme="minorHAnsi" w:hAnsiTheme="minorHAnsi" w:cstheme="minorHAnsi"/>
          <w:sz w:val="22"/>
          <w:szCs w:val="22"/>
        </w:rPr>
        <w:t xml:space="preserve"> obtenue par addition des notes technique et financière (</w:t>
      </w:r>
      <w:r>
        <w:rPr>
          <w:rFonts w:asciiTheme="minorHAnsi" w:hAnsiTheme="minorHAnsi" w:cstheme="minorHAnsi"/>
          <w:b/>
          <w:sz w:val="22"/>
          <w:szCs w:val="22"/>
        </w:rPr>
        <w:t>NG=NF+NT</w:t>
      </w:r>
      <w:r>
        <w:rPr>
          <w:rFonts w:asciiTheme="minorHAnsi" w:hAnsiTheme="minorHAnsi" w:cstheme="minorHAnsi"/>
          <w:sz w:val="22"/>
          <w:szCs w:val="22"/>
        </w:rPr>
        <w:t>) sera attribuée à chaque offre évaluée techniquement et financièrement.</w:t>
      </w:r>
    </w:p>
    <w:p w14:paraId="0B88EA24" w14:textId="77777777" w:rsidR="004014A1" w:rsidRDefault="00000000">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soumissionnaire(s) ayant obtenu la note globale la plus élevée sera (seront) considéré(s) comme ayant fourni l'offre économiquement la plus avantageuse et se verra (verront) attribuer le marché.</w:t>
      </w:r>
    </w:p>
    <w:p w14:paraId="1E8B1E4D" w14:textId="77777777" w:rsidR="004014A1" w:rsidRDefault="00000000">
      <w:pPr>
        <w:spacing w:before="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pouvoir adjudicateur peut ne pas donner suite à la consultation pour tout motif d'intérêt général.</w:t>
      </w:r>
    </w:p>
    <w:p w14:paraId="5A1644CA" w14:textId="77777777" w:rsidR="004014A1" w:rsidRDefault="00000000">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4" w:name="_Toc491193515"/>
      <w:bookmarkStart w:id="95" w:name="_Toc491193970"/>
      <w:bookmarkStart w:id="96" w:name="_Toc239327050"/>
      <w:bookmarkEnd w:id="94"/>
      <w:bookmarkEnd w:id="95"/>
      <w:r>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6"/>
    </w:p>
    <w:p w14:paraId="2359EAE7"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4B955A83"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3BBE2F14"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A20E3CB" w14:textId="77777777" w:rsidR="004014A1" w:rsidRDefault="00000000">
      <w:pPr>
        <w:pStyle w:val="Heading2"/>
        <w:spacing w:before="120" w:after="120" w:line="240" w:lineRule="auto"/>
        <w:jc w:val="both"/>
        <w:rPr>
          <w:rFonts w:asciiTheme="minorHAnsi" w:hAnsiTheme="minorHAnsi" w:cstheme="minorHAnsi"/>
          <w:sz w:val="22"/>
          <w:szCs w:val="22"/>
          <w:u w:val="single"/>
        </w:rPr>
      </w:pPr>
      <w:bookmarkStart w:id="97" w:name="_Toc239327051"/>
      <w:r>
        <w:rPr>
          <w:rFonts w:asciiTheme="minorHAnsi" w:hAnsiTheme="minorHAnsi" w:cstheme="minorHAnsi"/>
          <w:sz w:val="22"/>
          <w:szCs w:val="22"/>
          <w:u w:val="single"/>
        </w:rPr>
        <w:t>Identité et coordonnées du responsable de traitement et de son représentant :</w:t>
      </w:r>
      <w:bookmarkEnd w:id="97"/>
    </w:p>
    <w:p w14:paraId="2ACF87D6" w14:textId="77777777" w:rsidR="004014A1" w:rsidRDefault="00000000">
      <w:pPr>
        <w:pStyle w:val="Heading2"/>
        <w:spacing w:before="120" w:after="120" w:line="240" w:lineRule="auto"/>
        <w:ind w:left="708"/>
        <w:jc w:val="both"/>
        <w:rPr>
          <w:rFonts w:asciiTheme="minorHAnsi" w:hAnsiTheme="minorHAnsi" w:cstheme="minorHAnsi"/>
          <w:sz w:val="22"/>
          <w:szCs w:val="22"/>
          <w:u w:val="single"/>
        </w:rPr>
      </w:pPr>
      <w:bookmarkStart w:id="98" w:name="_Toc239327052"/>
      <w:r>
        <w:rPr>
          <w:rFonts w:asciiTheme="minorHAnsi" w:hAnsiTheme="minorHAnsi" w:cstheme="minorHAnsi"/>
          <w:sz w:val="22"/>
          <w:szCs w:val="22"/>
          <w:u w:val="single"/>
        </w:rPr>
        <w:t>Pour la plateforme PLACE :</w:t>
      </w:r>
      <w:bookmarkEnd w:id="98"/>
      <w:r>
        <w:rPr>
          <w:rFonts w:asciiTheme="minorHAnsi" w:hAnsiTheme="minorHAnsi" w:cstheme="minorHAnsi"/>
          <w:sz w:val="22"/>
          <w:szCs w:val="22"/>
          <w:u w:val="single"/>
        </w:rPr>
        <w:t xml:space="preserve"> </w:t>
      </w:r>
    </w:p>
    <w:p w14:paraId="769AF335"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Ministère de l'action et des comptes publics</w:t>
      </w:r>
    </w:p>
    <w:p w14:paraId="3171299F"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5D568BDB"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5C403B41"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le Directeur des achats de l'Etat</w:t>
      </w:r>
    </w:p>
    <w:p w14:paraId="272E1FA1"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14:paraId="2F80365C"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La Direction des achats de l’Etat représenté par son Directeur</w:t>
      </w:r>
    </w:p>
    <w:p w14:paraId="64B23D36" w14:textId="77777777" w:rsidR="004014A1" w:rsidRDefault="00000000">
      <w:pPr>
        <w:pStyle w:val="Heading2"/>
        <w:spacing w:before="120" w:after="120" w:line="240" w:lineRule="auto"/>
        <w:ind w:left="708"/>
        <w:jc w:val="both"/>
        <w:rPr>
          <w:rFonts w:asciiTheme="minorHAnsi" w:hAnsiTheme="minorHAnsi" w:cstheme="minorHAnsi"/>
          <w:sz w:val="22"/>
          <w:szCs w:val="22"/>
          <w:u w:val="single"/>
        </w:rPr>
      </w:pPr>
      <w:bookmarkStart w:id="99" w:name="_Toc239327053"/>
      <w:r>
        <w:rPr>
          <w:rFonts w:asciiTheme="minorHAnsi" w:hAnsiTheme="minorHAnsi" w:cstheme="minorHAnsi"/>
          <w:sz w:val="22"/>
          <w:szCs w:val="22"/>
          <w:u w:val="single"/>
        </w:rPr>
        <w:t>Coordonnées du délégué à la protection des données personnelles :</w:t>
      </w:r>
      <w:bookmarkEnd w:id="99"/>
    </w:p>
    <w:p w14:paraId="24E33FFF" w14:textId="77777777" w:rsidR="004014A1" w:rsidRDefault="00000000">
      <w:pPr>
        <w:pStyle w:val="Default"/>
        <w:spacing w:before="120"/>
        <w:jc w:val="both"/>
        <w:rPr>
          <w:rFonts w:asciiTheme="minorHAnsi" w:hAnsiTheme="minorHAnsi" w:cstheme="minorHAnsi"/>
          <w:color w:val="auto"/>
          <w:sz w:val="22"/>
          <w:szCs w:val="22"/>
        </w:rPr>
      </w:pPr>
      <w:hyperlink r:id="rId15" w:tooltip="mailto:le-delegue-a-la-protection-des-donnees-personnelles@finances.gouv.fr" w:history="1">
        <w:r>
          <w:rPr>
            <w:rFonts w:asciiTheme="minorHAnsi" w:hAnsiTheme="minorHAnsi" w:cstheme="minorHAnsi"/>
            <w:color w:val="auto"/>
            <w:sz w:val="22"/>
            <w:szCs w:val="22"/>
          </w:rPr>
          <w:t>le-delegue-a-la-protection-des-donnees-personnelles@finances.gouv.fr</w:t>
        </w:r>
      </w:hyperlink>
    </w:p>
    <w:p w14:paraId="3D1AEB62" w14:textId="77777777" w:rsidR="004014A1" w:rsidRDefault="004014A1">
      <w:pPr>
        <w:pStyle w:val="Default"/>
        <w:spacing w:before="120"/>
        <w:jc w:val="both"/>
        <w:rPr>
          <w:rFonts w:asciiTheme="minorHAnsi" w:hAnsiTheme="minorHAnsi" w:cstheme="minorHAnsi"/>
          <w:color w:val="auto"/>
          <w:sz w:val="22"/>
          <w:szCs w:val="22"/>
        </w:rPr>
      </w:pPr>
    </w:p>
    <w:p w14:paraId="4CC4EEF5" w14:textId="77777777" w:rsidR="004014A1" w:rsidRDefault="00000000">
      <w:pPr>
        <w:pStyle w:val="Heading2"/>
        <w:spacing w:before="120" w:after="120" w:line="240" w:lineRule="auto"/>
        <w:ind w:left="708"/>
        <w:jc w:val="both"/>
        <w:rPr>
          <w:rFonts w:asciiTheme="minorHAnsi" w:hAnsiTheme="minorHAnsi" w:cstheme="minorHAnsi"/>
          <w:sz w:val="22"/>
          <w:szCs w:val="22"/>
          <w:u w:val="single"/>
        </w:rPr>
      </w:pPr>
      <w:bookmarkStart w:id="100" w:name="_Toc239327054"/>
      <w:r>
        <w:rPr>
          <w:rFonts w:asciiTheme="minorHAnsi" w:hAnsiTheme="minorHAnsi" w:cstheme="minorHAnsi"/>
          <w:sz w:val="22"/>
          <w:szCs w:val="22"/>
          <w:u w:val="single"/>
        </w:rPr>
        <w:t>Pour l’autorité contractante :</w:t>
      </w:r>
      <w:bookmarkEnd w:id="100"/>
      <w:r>
        <w:rPr>
          <w:rFonts w:asciiTheme="minorHAnsi" w:hAnsiTheme="minorHAnsi" w:cstheme="minorHAnsi"/>
          <w:sz w:val="22"/>
          <w:szCs w:val="22"/>
          <w:u w:val="single"/>
        </w:rPr>
        <w:t xml:space="preserve"> </w:t>
      </w:r>
    </w:p>
    <w:p w14:paraId="3A101D79"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w:t>
      </w:r>
    </w:p>
    <w:p w14:paraId="17477716"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2BB04F73"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75005 Paris</w:t>
      </w:r>
    </w:p>
    <w:p w14:paraId="25E4BB0E"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son Directeur Général,</w:t>
      </w:r>
    </w:p>
    <w:p w14:paraId="52E8DE7A"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14:paraId="4AABD8B8"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Département des Systèmes d’Information représenté par son Directeur</w:t>
      </w:r>
    </w:p>
    <w:p w14:paraId="3DA5E1FC" w14:textId="77777777" w:rsidR="004014A1" w:rsidRDefault="00000000">
      <w:pPr>
        <w:pStyle w:val="Heading2"/>
        <w:spacing w:before="120" w:after="120" w:line="240" w:lineRule="auto"/>
        <w:ind w:left="708"/>
        <w:jc w:val="both"/>
        <w:rPr>
          <w:rFonts w:asciiTheme="minorHAnsi" w:hAnsiTheme="minorHAnsi" w:cstheme="minorHAnsi"/>
          <w:sz w:val="22"/>
          <w:szCs w:val="22"/>
          <w:u w:val="single"/>
        </w:rPr>
      </w:pPr>
      <w:bookmarkStart w:id="101" w:name="_Toc239327055"/>
      <w:r>
        <w:rPr>
          <w:rFonts w:asciiTheme="minorHAnsi" w:hAnsiTheme="minorHAnsi" w:cstheme="minorHAnsi"/>
          <w:sz w:val="22"/>
          <w:szCs w:val="22"/>
          <w:u w:val="single"/>
        </w:rPr>
        <w:t>Coordonnées du délégué à la protection des données personnelles :</w:t>
      </w:r>
      <w:bookmarkEnd w:id="101"/>
    </w:p>
    <w:p w14:paraId="1FDB63E7" w14:textId="77777777" w:rsidR="004014A1" w:rsidRDefault="00000000">
      <w:pPr>
        <w:pStyle w:val="Default"/>
        <w:spacing w:before="120"/>
        <w:jc w:val="both"/>
        <w:rPr>
          <w:rFonts w:asciiTheme="minorHAnsi" w:hAnsiTheme="minorHAnsi" w:cstheme="minorHAnsi"/>
          <w:color w:val="auto"/>
          <w:sz w:val="22"/>
          <w:szCs w:val="22"/>
        </w:rPr>
      </w:pPr>
      <w:hyperlink r:id="rId16" w:tooltip="mailto:informatique.libertes@expertisefrance.fr" w:history="1">
        <w:r>
          <w:rPr>
            <w:rFonts w:asciiTheme="minorHAnsi" w:hAnsiTheme="minorHAnsi" w:cstheme="minorHAnsi"/>
            <w:color w:val="auto"/>
            <w:sz w:val="22"/>
            <w:szCs w:val="22"/>
          </w:rPr>
          <w:t>informatique.libertes@expertisefrance.fr</w:t>
        </w:r>
      </w:hyperlink>
    </w:p>
    <w:p w14:paraId="3E946936" w14:textId="77777777" w:rsidR="004014A1" w:rsidRDefault="004014A1">
      <w:pPr>
        <w:pStyle w:val="Default"/>
        <w:spacing w:before="120"/>
        <w:jc w:val="both"/>
        <w:rPr>
          <w:rFonts w:asciiTheme="minorHAnsi" w:hAnsiTheme="minorHAnsi" w:cstheme="minorHAnsi"/>
          <w:color w:val="auto"/>
          <w:sz w:val="22"/>
          <w:szCs w:val="22"/>
        </w:rPr>
      </w:pPr>
    </w:p>
    <w:p w14:paraId="5E9523B8"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Les fondements juridiques légitimant le ou les traitements correspondent aux c) et e) de l'article 6.1 du RGPD, à savoir que :</w:t>
      </w:r>
    </w:p>
    <w:p w14:paraId="1A88214A" w14:textId="77777777" w:rsidR="004014A1" w:rsidRDefault="00000000">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au respect d’une obligation légale à laquelle Expertise France est soumis ;</w:t>
      </w:r>
    </w:p>
    <w:p w14:paraId="7371C662" w14:textId="77777777" w:rsidR="004014A1" w:rsidRDefault="00000000">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6ED487C6"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finalités du ou des traitements sont : </w:t>
      </w:r>
    </w:p>
    <w:p w14:paraId="6A699F9A" w14:textId="77777777" w:rsidR="004014A1" w:rsidRDefault="00000000">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 présente procédure de passation, </w:t>
      </w:r>
    </w:p>
    <w:p w14:paraId="711CCDB4" w14:textId="77777777" w:rsidR="004014A1" w:rsidRDefault="00000000">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l’attribution d’un marché public. </w:t>
      </w:r>
    </w:p>
    <w:p w14:paraId="790C6EC5"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6D02697C"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1095A5DF"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58091E2C"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70D766BB" w14:textId="77777777" w:rsidR="004014A1" w:rsidRDefault="004014A1">
      <w:pPr>
        <w:spacing w:before="120" w:line="240" w:lineRule="auto"/>
        <w:jc w:val="both"/>
        <w:rPr>
          <w:rFonts w:asciiTheme="minorHAnsi" w:hAnsiTheme="minorHAnsi" w:cstheme="minorHAnsi"/>
          <w:sz w:val="22"/>
          <w:szCs w:val="22"/>
        </w:rPr>
      </w:pPr>
    </w:p>
    <w:p w14:paraId="128D1197"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2" w:name="_Toc239327056"/>
      <w:r>
        <w:rPr>
          <w:rFonts w:asciiTheme="minorHAnsi" w:hAnsiTheme="minorHAnsi" w:cstheme="minorHAnsi"/>
          <w:b/>
          <w:caps/>
          <w:sz w:val="28"/>
          <w:szCs w:val="22"/>
          <w:u w:val="single"/>
        </w:rPr>
        <w:t>AUTRES RENSEIGNEMENTS</w:t>
      </w:r>
      <w:bookmarkEnd w:id="102"/>
    </w:p>
    <w:p w14:paraId="48E898DC"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6 jours ouvrés avant la date limite de remise des offres.</w:t>
      </w:r>
    </w:p>
    <w:p w14:paraId="1E3D02F2"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Expertise France s’engage à fournir une réponse au plus tard 2 jours ouvrés avant la date limite de remise des offres.</w:t>
      </w:r>
    </w:p>
    <w:p w14:paraId="25A6BB48" w14:textId="77777777" w:rsidR="004014A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086B89EF" w14:textId="77777777" w:rsidR="004014A1" w:rsidRDefault="004014A1">
      <w:pPr>
        <w:pStyle w:val="Default"/>
        <w:spacing w:before="120"/>
        <w:jc w:val="both"/>
        <w:rPr>
          <w:rFonts w:asciiTheme="minorHAnsi" w:hAnsiTheme="minorHAnsi" w:cstheme="minorHAnsi"/>
          <w:color w:val="auto"/>
          <w:sz w:val="22"/>
          <w:szCs w:val="22"/>
        </w:rPr>
      </w:pPr>
    </w:p>
    <w:p w14:paraId="209741F6" w14:textId="77777777" w:rsidR="004014A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3" w:name="_Toc410899708"/>
      <w:bookmarkStart w:id="104" w:name="_Toc239327057"/>
      <w:r>
        <w:rPr>
          <w:rFonts w:asciiTheme="minorHAnsi" w:hAnsiTheme="minorHAnsi" w:cstheme="minorHAnsi"/>
          <w:b/>
          <w:caps/>
          <w:sz w:val="28"/>
          <w:szCs w:val="22"/>
          <w:u w:val="single"/>
        </w:rPr>
        <w:t>Voies et délais de recours</w:t>
      </w:r>
      <w:bookmarkEnd w:id="103"/>
      <w:bookmarkEnd w:id="104"/>
    </w:p>
    <w:p w14:paraId="65CA2D51" w14:textId="77777777" w:rsidR="004014A1" w:rsidRDefault="00000000">
      <w:pPr>
        <w:pStyle w:val="NormalWeb"/>
        <w:spacing w:before="0" w:after="0" w:line="276" w:lineRule="auto"/>
        <w:rPr>
          <w:rFonts w:asciiTheme="minorHAnsi" w:hAnsiTheme="minorHAnsi" w:cstheme="minorHAnsi"/>
          <w:sz w:val="22"/>
        </w:rPr>
      </w:pPr>
      <w:r>
        <w:rPr>
          <w:rFonts w:asciiTheme="minorHAnsi" w:hAnsiTheme="minorHAnsi" w:cstheme="minorHAnsi"/>
          <w:sz w:val="22"/>
          <w:szCs w:val="22"/>
        </w:rPr>
        <w:t xml:space="preserve">L'instance chargée des procédures de recours est le Tribunal judiciaire de Paris, </w:t>
      </w:r>
      <w:r>
        <w:rPr>
          <w:rFonts w:asciiTheme="minorHAnsi" w:hAnsiTheme="minorHAnsi" w:cstheme="minorHAnsi"/>
          <w:sz w:val="22"/>
        </w:rPr>
        <w:t xml:space="preserve">Parvis du Tribunal de Paris 75 859 PARIS Cedex 17 </w:t>
      </w:r>
      <w:r>
        <w:rPr>
          <w:rFonts w:asciiTheme="minorHAnsi" w:hAnsiTheme="minorHAnsi" w:cstheme="minorHAnsi"/>
          <w:sz w:val="22"/>
          <w:szCs w:val="22"/>
        </w:rPr>
        <w:t xml:space="preserve">; e-mail : </w:t>
      </w:r>
      <w:hyperlink r:id="rId17" w:tooltip="mailto:tj-paris@justice.fr" w:history="1">
        <w:r>
          <w:rPr>
            <w:rStyle w:val="Hyperlink"/>
            <w:rFonts w:asciiTheme="minorHAnsi" w:hAnsiTheme="minorHAnsi" w:cstheme="minorHAnsi"/>
            <w:sz w:val="22"/>
          </w:rPr>
          <w:t>tj-paris@justice.fr</w:t>
        </w:r>
      </w:hyperlink>
      <w:r>
        <w:rPr>
          <w:rFonts w:asciiTheme="minorHAnsi" w:hAnsiTheme="minorHAnsi" w:cstheme="minorHAnsi"/>
          <w:sz w:val="22"/>
        </w:rPr>
        <w:t>.</w:t>
      </w:r>
    </w:p>
    <w:p w14:paraId="18396A0C" w14:textId="77777777" w:rsidR="004014A1" w:rsidRDefault="00000000">
      <w:pPr>
        <w:jc w:val="both"/>
        <w:rPr>
          <w:rFonts w:asciiTheme="minorHAnsi" w:hAnsiTheme="minorHAnsi" w:cstheme="minorHAnsi"/>
          <w:sz w:val="22"/>
          <w:szCs w:val="22"/>
        </w:rPr>
      </w:pPr>
      <w:r>
        <w:rPr>
          <w:rFonts w:asciiTheme="minorHAnsi" w:hAnsiTheme="minorHAnsi" w:cstheme="minorHAnsi"/>
          <w:sz w:val="22"/>
          <w:szCs w:val="22"/>
        </w:rPr>
        <w:t xml:space="preserve">Des renseignements sur l'introduction des recours peuvent être obtenus auprès du Greffe du Tribunal judiciaire de Paris ; e-mail : </w:t>
      </w:r>
      <w:hyperlink r:id="rId18" w:tooltip="mailto:tj-paris@justice.fr" w:history="1">
        <w:r>
          <w:rPr>
            <w:rStyle w:val="Hyperlink"/>
            <w:rFonts w:asciiTheme="minorHAnsi" w:hAnsiTheme="minorHAnsi" w:cstheme="minorHAnsi"/>
            <w:sz w:val="22"/>
          </w:rPr>
          <w:t>tj-paris@justice.fr</w:t>
        </w:r>
      </w:hyperlink>
      <w:r>
        <w:rPr>
          <w:rFonts w:asciiTheme="minorHAnsi" w:hAnsiTheme="minorHAnsi" w:cstheme="minorHAnsi"/>
          <w:sz w:val="22"/>
        </w:rPr>
        <w:t>.</w:t>
      </w:r>
    </w:p>
    <w:p w14:paraId="6DA61E3B" w14:textId="77777777" w:rsidR="004014A1" w:rsidRDefault="004014A1">
      <w:pPr>
        <w:rPr>
          <w:rFonts w:asciiTheme="minorHAnsi" w:hAnsiTheme="minorHAnsi" w:cstheme="minorHAnsi"/>
          <w:sz w:val="22"/>
          <w:szCs w:val="22"/>
        </w:rPr>
      </w:pPr>
    </w:p>
    <w:sectPr w:rsidR="004014A1">
      <w:headerReference w:type="default" r:id="rId19"/>
      <w:footerReference w:type="even" r:id="rId20"/>
      <w:footerReference w:type="default" r:id="rId21"/>
      <w:headerReference w:type="first" r:id="rId22"/>
      <w:footerReference w:type="first" r:id="rId23"/>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6173F" w14:textId="77777777" w:rsidR="00C83245" w:rsidRDefault="00C83245">
      <w:r>
        <w:separator/>
      </w:r>
    </w:p>
  </w:endnote>
  <w:endnote w:type="continuationSeparator" w:id="0">
    <w:p w14:paraId="3DB507CE" w14:textId="77777777" w:rsidR="00C83245" w:rsidRDefault="00C83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default"/>
  </w:font>
  <w:font w:name="Andale Sans UI">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00"/>
    <w:family w:val="auto"/>
    <w:pitch w:val="default"/>
  </w:font>
  <w:font w:name="Tahoma">
    <w:panose1 w:val="020B0604030504040204"/>
    <w:charset w:val="00"/>
    <w:family w:val="auto"/>
    <w:pitch w:val="default"/>
  </w:font>
  <w:font w:name="Garamond">
    <w:panose1 w:val="02020404030301010803"/>
    <w:charset w:val="00"/>
    <w:family w:val="auto"/>
    <w:pitch w:val="default"/>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664C9" w14:textId="77777777" w:rsidR="004014A1"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9C54B5C" w14:textId="77777777" w:rsidR="004014A1" w:rsidRDefault="004014A1">
    <w:pPr>
      <w:pStyle w:val="Footer"/>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00BCB" w14:textId="77777777" w:rsidR="004014A1" w:rsidRDefault="00000000">
    <w:pPr>
      <w:pStyle w:val="Footer"/>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27157D7" w14:textId="77777777" w:rsidR="004014A1" w:rsidRDefault="00000000">
    <w:pPr>
      <w:pStyle w:val="Footer"/>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Pr>
            <w:rFonts w:asciiTheme="minorHAnsi" w:hAnsiTheme="minorHAnsi"/>
            <w:b/>
            <w:bCs/>
            <w:sz w:val="22"/>
            <w:szCs w:val="22"/>
          </w:rPr>
          <w:t>3</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Pr>
            <w:rFonts w:asciiTheme="minorHAnsi" w:hAnsiTheme="minorHAnsi"/>
            <w:b/>
            <w:bCs/>
            <w:sz w:val="22"/>
            <w:szCs w:val="22"/>
          </w:rPr>
          <w:t>14</w:t>
        </w:r>
        <w:r>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4136A6B3" w14:textId="77777777" w:rsidR="004014A1" w:rsidRDefault="00000000">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A5EC7A" w14:textId="77777777" w:rsidR="004014A1" w:rsidRDefault="00000000">
            <w:pPr>
              <w:pStyle w:val="Footer"/>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Pr>
                    <w:rFonts w:asciiTheme="minorHAnsi" w:hAnsiTheme="minorHAnsi" w:cstheme="minorHAnsi"/>
                    <w:sz w:val="22"/>
                    <w:szCs w:val="22"/>
                  </w:rPr>
                  <w:t>DAJ_M009_v08</w:t>
                </w:r>
                <w:r>
                  <w:rPr>
                    <w:rFonts w:asciiTheme="minorHAnsi" w:hAnsiTheme="minorHAnsi" w:cstheme="minorHAnsi"/>
                    <w:sz w:val="22"/>
                    <w:szCs w:val="22"/>
                  </w:rPr>
                  <w:tab/>
                </w:r>
              </w:sdtContent>
            </w:sdt>
          </w:p>
          <w:p w14:paraId="406E0127" w14:textId="77777777" w:rsidR="004014A1" w:rsidRDefault="00000000">
            <w:pPr>
              <w:pStyle w:val="Footer"/>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2F002C" w14:textId="77777777" w:rsidR="004014A1" w:rsidRDefault="004014A1">
            <w:pPr>
              <w:pStyle w:val="Footer"/>
              <w:spacing w:line="240" w:lineRule="exact"/>
              <w:rPr>
                <w:rFonts w:asciiTheme="minorHAnsi" w:hAnsiTheme="minorHAnsi" w:cstheme="minorHAnsi"/>
                <w:b/>
                <w:sz w:val="22"/>
                <w:szCs w:val="22"/>
              </w:rPr>
            </w:pPr>
          </w:p>
          <w:p w14:paraId="41266B01" w14:textId="77777777" w:rsidR="004014A1" w:rsidRDefault="00000000">
            <w:pPr>
              <w:pStyle w:val="Footer"/>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6E833" w14:textId="77777777" w:rsidR="004014A1" w:rsidRDefault="004014A1">
    <w:pPr>
      <w:pStyle w:val="Footer"/>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43855" w14:textId="77777777" w:rsidR="004014A1" w:rsidRDefault="00000000">
    <w:pPr>
      <w:pStyle w:val="Footer"/>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45D201C0" w14:textId="77777777" w:rsidR="004014A1" w:rsidRDefault="00000000">
    <w:pPr>
      <w:pStyle w:val="Footer"/>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Pr>
            <w:rFonts w:asciiTheme="minorHAnsi" w:hAnsiTheme="minorHAnsi"/>
            <w:b/>
            <w:bCs/>
            <w:sz w:val="22"/>
            <w:szCs w:val="22"/>
          </w:rPr>
          <w:t>14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Pr>
            <w:rFonts w:asciiTheme="minorHAnsi" w:hAnsiTheme="minorHAnsi"/>
            <w:b/>
            <w:bCs/>
            <w:sz w:val="22"/>
            <w:szCs w:val="22"/>
          </w:rPr>
          <w:t>14</w:t>
        </w:r>
        <w:r>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53777F72" w14:textId="77777777" w:rsidR="004014A1" w:rsidRDefault="00000000">
            <w:pPr>
              <w:pStyle w:val="Footer"/>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2A611D0B" w14:textId="77777777" w:rsidR="004014A1" w:rsidRDefault="00000000">
            <w:pPr>
              <w:pStyle w:val="Footer"/>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Pr>
                    <w:rFonts w:asciiTheme="minorHAnsi" w:hAnsiTheme="minorHAnsi"/>
                    <w:b/>
                    <w:bCs/>
                    <w:sz w:val="22"/>
                    <w:szCs w:val="22"/>
                  </w:rPr>
                  <w:t>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Pr>
                    <w:rFonts w:asciiTheme="minorHAnsi" w:hAnsiTheme="minorHAnsi"/>
                    <w:b/>
                    <w:bCs/>
                    <w:sz w:val="22"/>
                    <w:szCs w:val="22"/>
                  </w:rPr>
                  <w:t>14</w:t>
                </w:r>
                <w:r>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79A50" w14:textId="77777777" w:rsidR="00C83245" w:rsidRDefault="00C83245">
      <w:r>
        <w:separator/>
      </w:r>
    </w:p>
  </w:footnote>
  <w:footnote w:type="continuationSeparator" w:id="0">
    <w:p w14:paraId="385DDEA1" w14:textId="77777777" w:rsidR="00C83245" w:rsidRDefault="00C83245">
      <w:r>
        <w:continuationSeparator/>
      </w:r>
    </w:p>
  </w:footnote>
  <w:footnote w:id="1">
    <w:p w14:paraId="055539C9" w14:textId="77777777" w:rsidR="004014A1" w:rsidRDefault="00000000">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D8BD" w14:textId="77777777" w:rsidR="004014A1" w:rsidRDefault="00401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0A3A2" w14:textId="77777777" w:rsidR="004014A1" w:rsidRDefault="004014A1">
    <w:pPr>
      <w:pStyle w:val="Header"/>
      <w:tabs>
        <w:tab w:val="clear" w:pos="9072"/>
        <w:tab w:val="right" w:pos="9339"/>
      </w:tabs>
      <w:rPr>
        <w:rFonts w:ascii="Calibri" w:hAnsi="Calibri"/>
        <w:bCs/>
        <w:sz w:val="22"/>
        <w:szCs w:val="28"/>
        <w:u w:val="single"/>
        <w:lang w:val="en-US"/>
      </w:rPr>
    </w:pPr>
  </w:p>
  <w:p w14:paraId="6FE26793" w14:textId="77777777" w:rsidR="004014A1" w:rsidRDefault="00000000">
    <w:pPr>
      <w:pStyle w:val="Header"/>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5BAC578E" w14:textId="77777777" w:rsidR="004014A1" w:rsidRDefault="004014A1">
    <w:pPr>
      <w:pStyle w:val="Header"/>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62125806"/>
  <w:bookmarkStart w:id="1" w:name="_Hlk62125807"/>
  <w:p w14:paraId="7F00728B" w14:textId="77777777" w:rsidR="004014A1" w:rsidRDefault="00000000">
    <w:pPr>
      <w:pStyle w:val="Header"/>
    </w:pPr>
    <w:r>
      <w:rPr>
        <w:noProof/>
      </w:rPr>
      <mc:AlternateContent>
        <mc:Choice Requires="wpg">
          <w:drawing>
            <wp:inline distT="0" distB="0" distL="0" distR="0" wp14:anchorId="72D57C11" wp14:editId="030581E7">
              <wp:extent cx="2124000" cy="111457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4F3746A4" w14:textId="77777777" w:rsidR="004014A1" w:rsidRDefault="004014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20E7E" w14:textId="77777777" w:rsidR="004014A1" w:rsidRDefault="004014A1">
    <w:pPr>
      <w:pStyle w:val="Header"/>
      <w:tabs>
        <w:tab w:val="right" w:pos="9214"/>
      </w:tabs>
      <w:rPr>
        <w:rFonts w:ascii="Calibri" w:hAnsi="Calibri"/>
        <w:bCs/>
        <w:sz w:val="22"/>
        <w:szCs w:val="28"/>
        <w:u w:val="single"/>
        <w:lang w:val="en-US"/>
      </w:rPr>
    </w:pPr>
  </w:p>
  <w:p w14:paraId="2DA2CA6C" w14:textId="77777777" w:rsidR="004014A1" w:rsidRDefault="00000000">
    <w:pPr>
      <w:pStyle w:val="Header"/>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593C521F" w14:textId="77777777" w:rsidR="004014A1" w:rsidRDefault="004014A1">
    <w:pPr>
      <w:pStyle w:val="Header"/>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E392" w14:textId="77777777" w:rsidR="004014A1" w:rsidRDefault="004014A1">
    <w:pPr>
      <w:pStyle w:val="Header"/>
      <w:tabs>
        <w:tab w:val="clear" w:pos="4536"/>
        <w:tab w:val="clear" w:pos="9072"/>
        <w:tab w:val="right" w:pos="9781"/>
      </w:tabs>
      <w:spacing w:line="240" w:lineRule="auto"/>
      <w:rPr>
        <w:rFonts w:asciiTheme="minorHAnsi" w:hAnsiTheme="minorHAnsi" w:cs="Arial"/>
        <w:sz w:val="24"/>
      </w:rPr>
    </w:pPr>
  </w:p>
  <w:p w14:paraId="5D2638B2" w14:textId="77777777" w:rsidR="004014A1" w:rsidRDefault="00000000">
    <w:pPr>
      <w:pStyle w:val="Header"/>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1E59EAA5" w14:textId="77777777" w:rsidR="004014A1" w:rsidRDefault="004014A1">
    <w:pPr>
      <w:pStyle w:val="Header"/>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2645248"/>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6E8092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323ED2"/>
    <w:multiLevelType w:val="multilevel"/>
    <w:tmpl w:val="7F602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C1D4F"/>
    <w:multiLevelType w:val="multilevel"/>
    <w:tmpl w:val="7098078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2A64562"/>
    <w:multiLevelType w:val="multilevel"/>
    <w:tmpl w:val="CF0CB924"/>
    <w:lvl w:ilvl="0">
      <w:numFmt w:val="bullet"/>
      <w:lvlText w:val=""/>
      <w:lvlJc w:val="left"/>
      <w:pPr>
        <w:ind w:left="720" w:hanging="360"/>
      </w:pPr>
      <w:rPr>
        <w:rFonts w:ascii="Wingdings" w:eastAsia="Calibr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multilevel"/>
    <w:tmpl w:val="F9E2EF7C"/>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multilevel"/>
    <w:tmpl w:val="66A2D596"/>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9F74B5E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AA4549"/>
    <w:multiLevelType w:val="multilevel"/>
    <w:tmpl w:val="993E7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A3D26"/>
    <w:multiLevelType w:val="multilevel"/>
    <w:tmpl w:val="3D8465B6"/>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465BFF"/>
    <w:multiLevelType w:val="multilevel"/>
    <w:tmpl w:val="719021D6"/>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DFE86C8"/>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A6C511B"/>
    <w:multiLevelType w:val="multilevel"/>
    <w:tmpl w:val="56D49B40"/>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15:restartNumberingAfterBreak="0">
    <w:nsid w:val="24742497"/>
    <w:multiLevelType w:val="multilevel"/>
    <w:tmpl w:val="C3F4DB9E"/>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73E22A2"/>
    <w:multiLevelType w:val="multilevel"/>
    <w:tmpl w:val="5C7EE330"/>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5" w15:restartNumberingAfterBreak="0">
    <w:nsid w:val="278556B3"/>
    <w:multiLevelType w:val="multilevel"/>
    <w:tmpl w:val="910CF206"/>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291B3500"/>
    <w:multiLevelType w:val="multilevel"/>
    <w:tmpl w:val="6FCE986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E9562CF0"/>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multilevel"/>
    <w:tmpl w:val="06C04BD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6474106C"/>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multilevel"/>
    <w:tmpl w:val="885CA5D0"/>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multilevel"/>
    <w:tmpl w:val="A29A6CB6"/>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9B62C78"/>
    <w:multiLevelType w:val="multilevel"/>
    <w:tmpl w:val="885A5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D06B7"/>
    <w:multiLevelType w:val="multilevel"/>
    <w:tmpl w:val="C4EC1CBA"/>
    <w:lvl w:ilvl="0">
      <w:start w:val="1"/>
      <w:numFmt w:val="bullet"/>
      <w:pStyle w:val="TOC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multilevel"/>
    <w:tmpl w:val="043E0F7C"/>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5" w15:restartNumberingAfterBreak="0">
    <w:nsid w:val="49D94ECC"/>
    <w:multiLevelType w:val="multilevel"/>
    <w:tmpl w:val="ECDC6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multilevel"/>
    <w:tmpl w:val="A772588A"/>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7" w15:restartNumberingAfterBreak="0">
    <w:nsid w:val="4B9C6193"/>
    <w:multiLevelType w:val="multilevel"/>
    <w:tmpl w:val="E61EB7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multilevel"/>
    <w:tmpl w:val="ABEE71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multilevel"/>
    <w:tmpl w:val="B99C1650"/>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multilevel"/>
    <w:tmpl w:val="1D140A4E"/>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multilevel"/>
    <w:tmpl w:val="58284B4A"/>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BB5E16"/>
    <w:multiLevelType w:val="multilevel"/>
    <w:tmpl w:val="A42A6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A69F2"/>
    <w:multiLevelType w:val="multilevel"/>
    <w:tmpl w:val="9F54E66C"/>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15:restartNumberingAfterBreak="0">
    <w:nsid w:val="5FE17550"/>
    <w:multiLevelType w:val="multilevel"/>
    <w:tmpl w:val="D8D890AA"/>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32B3DD6"/>
    <w:multiLevelType w:val="multilevel"/>
    <w:tmpl w:val="65E8DF98"/>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6" w15:restartNumberingAfterBreak="0">
    <w:nsid w:val="6BEE629A"/>
    <w:multiLevelType w:val="multilevel"/>
    <w:tmpl w:val="5100DB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D1F0D74"/>
    <w:multiLevelType w:val="multilevel"/>
    <w:tmpl w:val="4CB094D2"/>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6FDC236F"/>
    <w:multiLevelType w:val="multilevel"/>
    <w:tmpl w:val="BEC2D22A"/>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9" w15:restartNumberingAfterBreak="0">
    <w:nsid w:val="75EC390B"/>
    <w:multiLevelType w:val="multilevel"/>
    <w:tmpl w:val="7138DF0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6863F69"/>
    <w:multiLevelType w:val="multilevel"/>
    <w:tmpl w:val="9CF880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73166CB"/>
    <w:multiLevelType w:val="multilevel"/>
    <w:tmpl w:val="6E08C8D2"/>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C5033C"/>
    <w:multiLevelType w:val="multilevel"/>
    <w:tmpl w:val="1B7E1D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9A038C6"/>
    <w:multiLevelType w:val="multilevel"/>
    <w:tmpl w:val="6EB6B244"/>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FA937C9"/>
    <w:multiLevelType w:val="multilevel"/>
    <w:tmpl w:val="293651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9099800">
    <w:abstractNumId w:val="0"/>
  </w:num>
  <w:num w:numId="2" w16cid:durableId="1025979467">
    <w:abstractNumId w:val="10"/>
  </w:num>
  <w:num w:numId="3" w16cid:durableId="717125021">
    <w:abstractNumId w:val="30"/>
  </w:num>
  <w:num w:numId="4" w16cid:durableId="985745075">
    <w:abstractNumId w:val="6"/>
  </w:num>
  <w:num w:numId="5" w16cid:durableId="424307333">
    <w:abstractNumId w:val="23"/>
  </w:num>
  <w:num w:numId="6" w16cid:durableId="169174551">
    <w:abstractNumId w:val="12"/>
  </w:num>
  <w:num w:numId="7" w16cid:durableId="530537866">
    <w:abstractNumId w:val="20"/>
  </w:num>
  <w:num w:numId="8" w16cid:durableId="1235966047">
    <w:abstractNumId w:val="31"/>
  </w:num>
  <w:num w:numId="9" w16cid:durableId="310909438">
    <w:abstractNumId w:val="15"/>
  </w:num>
  <w:num w:numId="10" w16cid:durableId="1069498411">
    <w:abstractNumId w:val="34"/>
  </w:num>
  <w:num w:numId="11" w16cid:durableId="1632855915">
    <w:abstractNumId w:val="3"/>
  </w:num>
  <w:num w:numId="12" w16cid:durableId="95902660">
    <w:abstractNumId w:val="14"/>
  </w:num>
  <w:num w:numId="13" w16cid:durableId="172653203">
    <w:abstractNumId w:val="33"/>
  </w:num>
  <w:num w:numId="14" w16cid:durableId="1200434375">
    <w:abstractNumId w:val="26"/>
  </w:num>
  <w:num w:numId="15" w16cid:durableId="421219455">
    <w:abstractNumId w:val="37"/>
  </w:num>
  <w:num w:numId="16" w16cid:durableId="1256282634">
    <w:abstractNumId w:val="5"/>
  </w:num>
  <w:num w:numId="17" w16cid:durableId="2105179024">
    <w:abstractNumId w:val="24"/>
  </w:num>
  <w:num w:numId="18" w16cid:durableId="863325630">
    <w:abstractNumId w:val="21"/>
  </w:num>
  <w:num w:numId="19" w16cid:durableId="1587112357">
    <w:abstractNumId w:val="16"/>
  </w:num>
  <w:num w:numId="20" w16cid:durableId="1572349179">
    <w:abstractNumId w:val="9"/>
  </w:num>
  <w:num w:numId="21" w16cid:durableId="112722583">
    <w:abstractNumId w:val="7"/>
  </w:num>
  <w:num w:numId="22" w16cid:durableId="1585528009">
    <w:abstractNumId w:val="42"/>
  </w:num>
  <w:num w:numId="23" w16cid:durableId="567955742">
    <w:abstractNumId w:val="1"/>
  </w:num>
  <w:num w:numId="24" w16cid:durableId="867720091">
    <w:abstractNumId w:val="17"/>
  </w:num>
  <w:num w:numId="25" w16cid:durableId="68887925">
    <w:abstractNumId w:val="38"/>
  </w:num>
  <w:num w:numId="26" w16cid:durableId="2024355887">
    <w:abstractNumId w:val="18"/>
  </w:num>
  <w:num w:numId="27" w16cid:durableId="280772310">
    <w:abstractNumId w:val="43"/>
  </w:num>
  <w:num w:numId="28" w16cid:durableId="479276390">
    <w:abstractNumId w:val="35"/>
  </w:num>
  <w:num w:numId="29" w16cid:durableId="1711488246">
    <w:abstractNumId w:val="39"/>
  </w:num>
  <w:num w:numId="30" w16cid:durableId="718211504">
    <w:abstractNumId w:val="29"/>
  </w:num>
  <w:num w:numId="31" w16cid:durableId="234053093">
    <w:abstractNumId w:val="36"/>
  </w:num>
  <w:num w:numId="32" w16cid:durableId="1614096437">
    <w:abstractNumId w:val="40"/>
  </w:num>
  <w:num w:numId="33" w16cid:durableId="1879245084">
    <w:abstractNumId w:val="13"/>
  </w:num>
  <w:num w:numId="34" w16cid:durableId="669253643">
    <w:abstractNumId w:val="19"/>
  </w:num>
  <w:num w:numId="35" w16cid:durableId="1292052739">
    <w:abstractNumId w:val="11"/>
  </w:num>
  <w:num w:numId="36" w16cid:durableId="944003455">
    <w:abstractNumId w:val="28"/>
  </w:num>
  <w:num w:numId="37" w16cid:durableId="1736276541">
    <w:abstractNumId w:val="27"/>
  </w:num>
  <w:num w:numId="38" w16cid:durableId="1047069895">
    <w:abstractNumId w:val="41"/>
  </w:num>
  <w:num w:numId="39" w16cid:durableId="1245451101">
    <w:abstractNumId w:val="44"/>
  </w:num>
  <w:num w:numId="40" w16cid:durableId="1527984589">
    <w:abstractNumId w:val="4"/>
  </w:num>
  <w:num w:numId="41" w16cid:durableId="777725546">
    <w:abstractNumId w:val="25"/>
  </w:num>
  <w:num w:numId="42" w16cid:durableId="1102142382">
    <w:abstractNumId w:val="32"/>
  </w:num>
  <w:num w:numId="43" w16cid:durableId="1041251573">
    <w:abstractNumId w:val="22"/>
  </w:num>
  <w:num w:numId="44" w16cid:durableId="1376613544">
    <w:abstractNumId w:val="8"/>
  </w:num>
  <w:num w:numId="45" w16cid:durableId="1596093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4A1"/>
    <w:rsid w:val="001D79FD"/>
    <w:rsid w:val="00224722"/>
    <w:rsid w:val="002504D8"/>
    <w:rsid w:val="004014A1"/>
    <w:rsid w:val="00433F3C"/>
    <w:rsid w:val="00C83245"/>
    <w:rsid w:val="00D15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C6B7"/>
  <w15:docId w15:val="{C6F362F6-8645-4494-9445-724C41992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Heading1">
    <w:name w:val="heading 1"/>
    <w:basedOn w:val="Normal"/>
    <w:next w:val="Normal"/>
    <w:link w:val="Heading1Char"/>
    <w:qFormat/>
    <w:pPr>
      <w:keepNext/>
      <w:spacing w:line="440" w:lineRule="exact"/>
      <w:outlineLvl w:val="0"/>
    </w:pPr>
    <w:rPr>
      <w:rFonts w:cs="Arial"/>
      <w:b/>
      <w:bCs/>
      <w:caps/>
    </w:rPr>
  </w:style>
  <w:style w:type="paragraph" w:styleId="Heading2">
    <w:name w:val="heading 2"/>
    <w:basedOn w:val="Normal"/>
    <w:next w:val="Normal"/>
    <w:link w:val="Heading2Char1"/>
    <w:qFormat/>
    <w:pPr>
      <w:keepNext/>
      <w:widowControl w:val="0"/>
      <w:outlineLvl w:val="1"/>
    </w:pPr>
    <w:rPr>
      <w:rFonts w:cs="Arial"/>
      <w:b/>
      <w:bCs/>
      <w:sz w:val="18"/>
    </w:rPr>
  </w:style>
  <w:style w:type="paragraph" w:styleId="Heading3">
    <w:name w:val="heading 3"/>
    <w:basedOn w:val="Normal"/>
    <w:next w:val="Normal"/>
    <w:link w:val="Heading3Char"/>
    <w:qFormat/>
    <w:pPr>
      <w:keepNext/>
      <w:spacing w:before="240" w:after="60"/>
      <w:outlineLvl w:val="2"/>
    </w:pPr>
    <w:rPr>
      <w:rFonts w:ascii="Helvetica" w:hAnsi="Helvetica"/>
      <w:sz w:val="24"/>
    </w:rPr>
  </w:style>
  <w:style w:type="paragraph" w:styleId="Heading4">
    <w:name w:val="heading 4"/>
    <w:basedOn w:val="Normal"/>
    <w:next w:val="Normal"/>
    <w:link w:val="Heading4Char"/>
    <w:qFormat/>
    <w:pPr>
      <w:keepNext/>
      <w:widowControl w:val="0"/>
      <w:jc w:val="both"/>
      <w:outlineLvl w:val="3"/>
    </w:pPr>
    <w:rPr>
      <w:rFonts w:cs="Arial"/>
      <w:b/>
      <w:bCs/>
      <w:i/>
      <w:iCs/>
      <w:color w:val="0000FF"/>
    </w:rPr>
  </w:style>
  <w:style w:type="paragraph" w:styleId="Heading5">
    <w:name w:val="heading 5"/>
    <w:basedOn w:val="Normal"/>
    <w:next w:val="Normal"/>
    <w:link w:val="Heading5Char"/>
    <w:qFormat/>
    <w:pPr>
      <w:keepNext/>
      <w:widowControl w:val="0"/>
      <w:jc w:val="both"/>
      <w:outlineLvl w:val="4"/>
    </w:pPr>
    <w:rPr>
      <w:rFonts w:cs="Arial"/>
      <w:b/>
      <w:bCs/>
    </w:rPr>
  </w:style>
  <w:style w:type="paragraph" w:styleId="Heading6">
    <w:name w:val="heading 6"/>
    <w:basedOn w:val="Normal"/>
    <w:next w:val="Normal"/>
    <w:link w:val="Heading6Char"/>
    <w:qFormat/>
    <w:pPr>
      <w:spacing w:before="240" w:after="60" w:line="240" w:lineRule="auto"/>
      <w:outlineLvl w:val="5"/>
    </w:pPr>
    <w:rPr>
      <w:rFonts w:ascii="Times New Roman" w:eastAsia="Times New Roman" w:hAnsi="Times New Roman"/>
      <w:b/>
      <w:bCs/>
      <w:sz w:val="22"/>
      <w:szCs w:val="22"/>
      <w:lang w:val="en-US" w:eastAsia="en-US"/>
    </w:rPr>
  </w:style>
  <w:style w:type="paragraph" w:styleId="Heading7">
    <w:name w:val="heading 7"/>
    <w:basedOn w:val="Normal"/>
    <w:next w:val="Normal"/>
    <w:link w:val="Heading7Char"/>
    <w:qFormat/>
    <w:pPr>
      <w:keepNext/>
      <w:widowControl w:val="0"/>
      <w:spacing w:line="240" w:lineRule="auto"/>
      <w:outlineLvl w:val="6"/>
    </w:pPr>
    <w:rPr>
      <w:rFonts w:ascii="Times New Roman" w:eastAsia="Times New Roman" w:hAnsi="Times New Roman" w:cs="Arial"/>
      <w:b/>
      <w:sz w:val="24"/>
      <w:szCs w:val="24"/>
    </w:rPr>
  </w:style>
  <w:style w:type="paragraph" w:styleId="Heading8">
    <w:name w:val="heading 8"/>
    <w:basedOn w:val="Normal"/>
    <w:next w:val="Normal"/>
    <w:link w:val="Heading8Ch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Heading9">
    <w:name w:val="heading 9"/>
    <w:basedOn w:val="Normal"/>
    <w:next w:val="Normal"/>
    <w:link w:val="Heading9Char"/>
    <w:uiPriority w:val="9"/>
    <w:unhideWhenUsed/>
    <w:qFormat/>
    <w:pPr>
      <w:keepNext/>
      <w:keepLines/>
      <w:outlineLvl w:val="8"/>
    </w:pPr>
    <w:rPr>
      <w:rFonts w:eastAsia="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character" w:customStyle="1" w:styleId="FootnoteTextChar">
    <w:name w:val="Footnote Text Char"/>
    <w:basedOn w:val="DefaultParagraphFont"/>
    <w:uiPriority w:val="99"/>
    <w:semiHidden/>
    <w:rPr>
      <w:sz w:val="20"/>
      <w:szCs w:val="20"/>
    </w:rPr>
  </w:style>
  <w:style w:type="paragraph" w:styleId="EndnoteText">
    <w:name w:val="endnote text"/>
    <w:basedOn w:val="Normal"/>
    <w:link w:val="EndnoteTextChar"/>
    <w:uiPriority w:val="99"/>
    <w:semiHidden/>
    <w:unhideWhenUsed/>
    <w:pPr>
      <w:spacing w:line="240" w:lineRule="auto"/>
    </w:p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style>
  <w:style w:type="paragraph" w:styleId="Header">
    <w:name w:val="header"/>
    <w:basedOn w:val="Normal"/>
    <w:link w:val="HeaderChar1"/>
    <w:pPr>
      <w:tabs>
        <w:tab w:val="center" w:pos="4536"/>
        <w:tab w:val="right" w:pos="9072"/>
      </w:tabs>
    </w:pPr>
  </w:style>
  <w:style w:type="paragraph" w:styleId="Footer">
    <w:name w:val="footer"/>
    <w:basedOn w:val="Normal"/>
    <w:link w:val="FooterChar1"/>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PageNumber">
    <w:name w:val="page number"/>
    <w:basedOn w:val="DefaultParagraphFon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BodyText">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link w:val="TitleCh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Emphasis">
    <w:name w:val="Emphasis"/>
    <w:basedOn w:val="DefaultParagraphFont"/>
    <w:uiPriority w:val="20"/>
    <w:qFormat/>
    <w:rPr>
      <w:b/>
      <w:bCs/>
      <w:i w:val="0"/>
      <w:iCs w:val="0"/>
    </w:rPr>
  </w:style>
  <w:style w:type="paragraph" w:styleId="TOC3">
    <w:name w:val="toc 3"/>
    <w:basedOn w:val="Normal"/>
    <w:next w:val="Normal"/>
    <w:uiPriority w:val="39"/>
    <w:semiHidden/>
    <w:qFormat/>
    <w:pPr>
      <w:numPr>
        <w:numId w:val="5"/>
      </w:numPr>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1"/>
    <w:unhideWhenUsed/>
    <w:pPr>
      <w:spacing w:before="240" w:line="240" w:lineRule="auto"/>
      <w:jc w:val="both"/>
    </w:pPr>
    <w:rPr>
      <w:rFonts w:ascii="Times" w:eastAsia="Times New Roman" w:hAnsi="Times" w:cs="Times"/>
    </w:rPr>
  </w:style>
  <w:style w:type="character" w:customStyle="1" w:styleId="FootnoteTextChar1">
    <w:name w:val="Footnote Text Char1"/>
    <w:basedOn w:val="DefaultParagraphFont"/>
    <w:link w:val="FootnoteText"/>
    <w:rPr>
      <w:rFonts w:eastAsia="Times New Roman" w:cs="Times"/>
    </w:rPr>
  </w:style>
  <w:style w:type="character" w:styleId="FootnoteReference">
    <w:name w:val="footnote reference"/>
    <w:unhideWhenUsed/>
    <w:rPr>
      <w:rFonts w:ascii="Times New Roman" w:hAnsi="Times New Roman" w:cs="Times New Roman" w:hint="default"/>
      <w:vertAlign w:val="superscript"/>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Arial" w:hAnsi="Aria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FooterChar1">
    <w:name w:val="Footer Char1"/>
    <w:basedOn w:val="DefaultParagraphFont"/>
    <w:link w:val="Footer"/>
    <w:uiPriority w:val="99"/>
    <w:rPr>
      <w:rFonts w:ascii="Arial" w:hAnsi="Arial"/>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rFonts w:ascii="Arial" w:hAnsi="Arial"/>
    </w:rPr>
  </w:style>
  <w:style w:type="character" w:customStyle="1" w:styleId="Heading2Char1">
    <w:name w:val="Heading 2 Char1"/>
    <w:basedOn w:val="DefaultParagraphFont"/>
    <w:link w:val="Heading2"/>
    <w:rPr>
      <w:rFonts w:ascii="Arial" w:hAnsi="Arial" w:cs="Arial"/>
      <w:b/>
      <w:bCs/>
      <w:sz w:val="18"/>
    </w:rPr>
  </w:style>
  <w:style w:type="character" w:styleId="BookTitle">
    <w:name w:val="Book Title"/>
    <w:basedOn w:val="DefaultParagraphFont"/>
    <w:uiPriority w:val="33"/>
    <w:qFormat/>
    <w:rPr>
      <w:b/>
      <w:bCs/>
      <w:smallCaps/>
      <w:spacing w:val="5"/>
    </w:rPr>
  </w:style>
  <w:style w:type="character" w:customStyle="1" w:styleId="Caractresdenotedebasdepage">
    <w:name w:val="Caractères de note de bas de page"/>
    <w:basedOn w:val="DefaultParagraphFont"/>
    <w:rPr>
      <w:rFonts w:ascii="Times New Roman" w:hAnsi="Times New Roman" w:cs="Times New Roman" w:hint="default"/>
      <w:vertAlign w:val="superscript"/>
    </w:rPr>
  </w:style>
  <w:style w:type="paragraph" w:styleId="Revision">
    <w:name w:val="Revision"/>
    <w:hidden/>
    <w:uiPriority w:val="99"/>
    <w:semiHidden/>
    <w:rPr>
      <w:rFonts w:ascii="Arial" w:hAnsi="Arial"/>
    </w:rPr>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DefaultParagraphFont"/>
    <w:link w:val="Normal1"/>
    <w:rPr>
      <w:rFonts w:ascii="Times New Roman" w:eastAsia="Times New Roman" w:hAnsi="Times New Roman"/>
      <w:sz w:val="22"/>
      <w:szCs w:val="22"/>
    </w:rPr>
  </w:style>
  <w:style w:type="table" w:styleId="MediumShading1-Accent1">
    <w:name w:val="Medium Shading 1 Accent 1"/>
    <w:basedOn w:val="Table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HeaderChar1">
    <w:name w:val="Header Char1"/>
    <w:link w:val="Header"/>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EAB68-623A-477A-AFB6-F553A8C31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5751</Words>
  <Characters>31633</Characters>
  <Application>Microsoft Office Word</Application>
  <DocSecurity>0</DocSecurity>
  <Lines>263</Lines>
  <Paragraphs>74</Paragraphs>
  <ScaleCrop>false</ScaleCrop>
  <Company>MINEFI</Company>
  <LinksUpToDate>false</LinksUpToDate>
  <CharactersWithSpaces>37310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Burcu BONMARCHAND</cp:lastModifiedBy>
  <cp:revision>25</cp:revision>
  <dcterms:created xsi:type="dcterms:W3CDTF">2026-06-01T09:47:00Z</dcterms:created>
  <dcterms:modified xsi:type="dcterms:W3CDTF">2026-09-29T15:39:00Z</dcterms:modified>
</cp:coreProperties>
</file>