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1C95" w:rsidRDefault="00191C95" w:rsidP="00191C95">
      <w:pPr>
        <w:jc w:val="center"/>
        <w:rPr>
          <w:b/>
          <w:u w:val="single"/>
        </w:rPr>
      </w:pPr>
      <w:r w:rsidRPr="00F33C85">
        <w:rPr>
          <w:b/>
          <w:u w:val="single"/>
        </w:rPr>
        <w:t>Fichier Questions réponses</w:t>
      </w:r>
    </w:p>
    <w:p w:rsidR="00191C95" w:rsidRPr="00F33C85" w:rsidRDefault="00191C95" w:rsidP="00191C95">
      <w:pPr>
        <w:jc w:val="center"/>
        <w:rPr>
          <w:b/>
          <w:u w:val="single"/>
        </w:rPr>
      </w:pPr>
      <w:r>
        <w:rPr>
          <w:b/>
          <w:u w:val="single"/>
        </w:rPr>
        <w:t>DAF-2026</w:t>
      </w:r>
      <w:r w:rsidR="002034DF">
        <w:rPr>
          <w:b/>
          <w:u w:val="single"/>
        </w:rPr>
        <w:t>-</w:t>
      </w:r>
      <w:r w:rsidR="002034DF" w:rsidRPr="002034DF">
        <w:rPr>
          <w:b/>
          <w:u w:val="single"/>
        </w:rPr>
        <w:t>000462</w:t>
      </w:r>
    </w:p>
    <w:tbl>
      <w:tblPr>
        <w:tblStyle w:val="Grilledutableau"/>
        <w:tblW w:w="14170" w:type="dxa"/>
        <w:tblLook w:val="04A0" w:firstRow="1" w:lastRow="0" w:firstColumn="1" w:lastColumn="0" w:noHBand="0" w:noVBand="1"/>
      </w:tblPr>
      <w:tblGrid>
        <w:gridCol w:w="846"/>
        <w:gridCol w:w="1559"/>
        <w:gridCol w:w="5812"/>
        <w:gridCol w:w="5953"/>
      </w:tblGrid>
      <w:tr w:rsidR="00191C95" w:rsidTr="002034DF">
        <w:tc>
          <w:tcPr>
            <w:tcW w:w="846" w:type="dxa"/>
          </w:tcPr>
          <w:p w:rsidR="00191C95" w:rsidRDefault="00191C95" w:rsidP="005E2257">
            <w:pPr>
              <w:tabs>
                <w:tab w:val="left" w:pos="897"/>
              </w:tabs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fr-FR"/>
              </w:rPr>
              <w:t>N°</w:t>
            </w:r>
          </w:p>
        </w:tc>
        <w:tc>
          <w:tcPr>
            <w:tcW w:w="1559" w:type="dxa"/>
          </w:tcPr>
          <w:p w:rsidR="00191C95" w:rsidRDefault="00191C95" w:rsidP="005E2257">
            <w:pPr>
              <w:tabs>
                <w:tab w:val="left" w:pos="897"/>
              </w:tabs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fr-FR"/>
              </w:rPr>
              <w:t>Date</w:t>
            </w:r>
          </w:p>
        </w:tc>
        <w:tc>
          <w:tcPr>
            <w:tcW w:w="5812" w:type="dxa"/>
          </w:tcPr>
          <w:p w:rsidR="00191C95" w:rsidRDefault="00191C95" w:rsidP="005E2257">
            <w:pPr>
              <w:spacing w:after="160" w:line="259" w:lineRule="auto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fr-FR"/>
              </w:rPr>
              <w:t>Question</w:t>
            </w:r>
          </w:p>
        </w:tc>
        <w:tc>
          <w:tcPr>
            <w:tcW w:w="5953" w:type="dxa"/>
          </w:tcPr>
          <w:p w:rsidR="00191C95" w:rsidRDefault="00191C95" w:rsidP="005E2257">
            <w:pPr>
              <w:tabs>
                <w:tab w:val="left" w:pos="897"/>
              </w:tabs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fr-FR"/>
              </w:rPr>
              <w:t>Réponse</w:t>
            </w:r>
          </w:p>
        </w:tc>
      </w:tr>
      <w:tr w:rsidR="00BB354C" w:rsidTr="002034DF">
        <w:tc>
          <w:tcPr>
            <w:tcW w:w="846" w:type="dxa"/>
          </w:tcPr>
          <w:p w:rsidR="00BB354C" w:rsidRDefault="00BB354C" w:rsidP="005E2257">
            <w:pPr>
              <w:tabs>
                <w:tab w:val="left" w:pos="897"/>
              </w:tabs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fr-FR"/>
              </w:rPr>
            </w:pPr>
            <w:r w:rsidRPr="00BB354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fr-FR"/>
              </w:rPr>
              <w:t>1</w:t>
            </w:r>
          </w:p>
        </w:tc>
        <w:tc>
          <w:tcPr>
            <w:tcW w:w="1559" w:type="dxa"/>
          </w:tcPr>
          <w:p w:rsidR="00BB354C" w:rsidRDefault="00BB354C" w:rsidP="005E2257">
            <w:pPr>
              <w:tabs>
                <w:tab w:val="left" w:pos="897"/>
              </w:tabs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fr-FR"/>
              </w:rPr>
            </w:pPr>
            <w:r w:rsidRPr="00BB354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fr-FR"/>
              </w:rPr>
              <w:t>24/09/2026</w:t>
            </w:r>
          </w:p>
        </w:tc>
        <w:tc>
          <w:tcPr>
            <w:tcW w:w="5812" w:type="dxa"/>
          </w:tcPr>
          <w:p w:rsidR="00BB354C" w:rsidRDefault="00BB354C" w:rsidP="005E2257">
            <w:pPr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fr-FR"/>
              </w:rPr>
            </w:pPr>
            <w:r>
              <w:t>il est indiqué sur la PLACE une date limite de remise des plis au 26/10/2026, toutefois sur le RC une date au 12/10/2026 est annoncée, pouvez-vous nous confirmer la bonne date ?</w:t>
            </w:r>
          </w:p>
        </w:tc>
        <w:tc>
          <w:tcPr>
            <w:tcW w:w="5953" w:type="dxa"/>
          </w:tcPr>
          <w:p w:rsidR="00BB354C" w:rsidRDefault="00BB354C" w:rsidP="005E2257">
            <w:pPr>
              <w:tabs>
                <w:tab w:val="left" w:pos="897"/>
              </w:tabs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fr-FR"/>
              </w:rPr>
            </w:pPr>
            <w:r>
              <w:t>Date limite de remise des plis le 26/10/2026</w:t>
            </w:r>
          </w:p>
        </w:tc>
      </w:tr>
      <w:tr w:rsidR="00191C95" w:rsidTr="002034DF">
        <w:trPr>
          <w:trHeight w:val="751"/>
        </w:trPr>
        <w:tc>
          <w:tcPr>
            <w:tcW w:w="846" w:type="dxa"/>
          </w:tcPr>
          <w:p w:rsidR="00191C95" w:rsidRPr="0086237F" w:rsidRDefault="00BB354C" w:rsidP="005E2257">
            <w:pPr>
              <w:tabs>
                <w:tab w:val="left" w:pos="897"/>
              </w:tabs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fr-FR"/>
              </w:rPr>
              <w:t>2</w:t>
            </w:r>
          </w:p>
        </w:tc>
        <w:tc>
          <w:tcPr>
            <w:tcW w:w="1559" w:type="dxa"/>
          </w:tcPr>
          <w:p w:rsidR="00191C95" w:rsidRPr="0086237F" w:rsidRDefault="002034DF" w:rsidP="005E2257">
            <w:pPr>
              <w:tabs>
                <w:tab w:val="left" w:pos="897"/>
              </w:tabs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fr-FR"/>
              </w:rPr>
              <w:t>06/10/2026</w:t>
            </w:r>
          </w:p>
        </w:tc>
        <w:tc>
          <w:tcPr>
            <w:tcW w:w="5812" w:type="dxa"/>
          </w:tcPr>
          <w:p w:rsidR="00191C95" w:rsidRPr="002034DF" w:rsidRDefault="002034DF" w:rsidP="005E2257">
            <w:pPr>
              <w:tabs>
                <w:tab w:val="left" w:pos="897"/>
              </w:tabs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fr-FR"/>
              </w:rPr>
            </w:pPr>
            <w:r w:rsidRPr="002034D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fr-FR"/>
              </w:rPr>
              <w:t>Le programme source de la GTE EPAS-UI existante ainsi que les licences de développement Schneider seront-ils mis à disposition du titulaire ?</w:t>
            </w:r>
          </w:p>
        </w:tc>
        <w:tc>
          <w:tcPr>
            <w:tcW w:w="5953" w:type="dxa"/>
          </w:tcPr>
          <w:p w:rsidR="002034DF" w:rsidRPr="006D343D" w:rsidRDefault="006D343D" w:rsidP="00191C95">
            <w:pPr>
              <w:tabs>
                <w:tab w:val="left" w:pos="897"/>
              </w:tabs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fr-FR"/>
              </w:rPr>
            </w:pPr>
            <w:r w:rsidRPr="006D343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fr-FR"/>
              </w:rPr>
              <w:t>La société Schneider est seule détentrice de l’exploitation du logiciel EPAS-UI. Le titulaire devra faire appel à celle-ci pour les interventions de dépannage/maintenance/modification</w:t>
            </w:r>
          </w:p>
        </w:tc>
      </w:tr>
      <w:tr w:rsidR="002034DF" w:rsidTr="002034DF">
        <w:trPr>
          <w:trHeight w:val="751"/>
        </w:trPr>
        <w:tc>
          <w:tcPr>
            <w:tcW w:w="846" w:type="dxa"/>
          </w:tcPr>
          <w:p w:rsidR="002034DF" w:rsidRPr="0086237F" w:rsidRDefault="00BB354C" w:rsidP="005E2257">
            <w:pPr>
              <w:tabs>
                <w:tab w:val="left" w:pos="897"/>
              </w:tabs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fr-FR"/>
              </w:rPr>
              <w:t>3</w:t>
            </w:r>
          </w:p>
        </w:tc>
        <w:tc>
          <w:tcPr>
            <w:tcW w:w="1559" w:type="dxa"/>
          </w:tcPr>
          <w:p w:rsidR="002034DF" w:rsidRPr="0086237F" w:rsidRDefault="002034DF" w:rsidP="005E2257">
            <w:pPr>
              <w:tabs>
                <w:tab w:val="left" w:pos="897"/>
              </w:tabs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fr-FR"/>
              </w:rPr>
              <w:t>06/10/2026</w:t>
            </w:r>
          </w:p>
        </w:tc>
        <w:tc>
          <w:tcPr>
            <w:tcW w:w="5812" w:type="dxa"/>
          </w:tcPr>
          <w:p w:rsidR="002034DF" w:rsidRPr="002034DF" w:rsidRDefault="002034DF" w:rsidP="005E2257">
            <w:pPr>
              <w:tabs>
                <w:tab w:val="left" w:pos="897"/>
              </w:tabs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fr-FR"/>
              </w:rPr>
            </w:pPr>
            <w:r w:rsidRPr="002034D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fr-FR"/>
              </w:rPr>
              <w:t>Les plateformes béton destinées aux groupes électrogènes et aux cuves sont-elles existantes ou à créer intégralement ?</w:t>
            </w:r>
          </w:p>
        </w:tc>
        <w:tc>
          <w:tcPr>
            <w:tcW w:w="5953" w:type="dxa"/>
          </w:tcPr>
          <w:p w:rsidR="002034DF" w:rsidRPr="006D343D" w:rsidRDefault="006D343D" w:rsidP="00191C95">
            <w:pPr>
              <w:tabs>
                <w:tab w:val="left" w:pos="897"/>
              </w:tabs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fr-FR"/>
              </w:rPr>
              <w:t>Une plateforme de 600m² avec des cheminements techniques a été construite, afin d’héberger quatre groupes électrogènes en conteneurs ainsi que deux citernes également en conteneurs.</w:t>
            </w:r>
          </w:p>
        </w:tc>
      </w:tr>
      <w:tr w:rsidR="002034DF" w:rsidTr="002034DF">
        <w:trPr>
          <w:trHeight w:val="751"/>
        </w:trPr>
        <w:tc>
          <w:tcPr>
            <w:tcW w:w="846" w:type="dxa"/>
          </w:tcPr>
          <w:p w:rsidR="002034DF" w:rsidRPr="0086237F" w:rsidRDefault="00BB354C" w:rsidP="005E2257">
            <w:pPr>
              <w:tabs>
                <w:tab w:val="left" w:pos="897"/>
              </w:tabs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fr-FR"/>
              </w:rPr>
              <w:t>4</w:t>
            </w:r>
          </w:p>
        </w:tc>
        <w:tc>
          <w:tcPr>
            <w:tcW w:w="1559" w:type="dxa"/>
          </w:tcPr>
          <w:p w:rsidR="002034DF" w:rsidRPr="0086237F" w:rsidRDefault="002034DF" w:rsidP="005E2257">
            <w:pPr>
              <w:tabs>
                <w:tab w:val="left" w:pos="897"/>
              </w:tabs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fr-FR"/>
              </w:rPr>
              <w:t>06/10/2026</w:t>
            </w:r>
          </w:p>
        </w:tc>
        <w:tc>
          <w:tcPr>
            <w:tcW w:w="5812" w:type="dxa"/>
          </w:tcPr>
          <w:p w:rsidR="002034DF" w:rsidRPr="002034DF" w:rsidRDefault="002034DF" w:rsidP="005E2257">
            <w:pPr>
              <w:tabs>
                <w:tab w:val="left" w:pos="897"/>
              </w:tabs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fr-FR"/>
              </w:rPr>
            </w:pPr>
            <w:r w:rsidRPr="002034D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fr-FR"/>
              </w:rPr>
              <w:t>La coupure générale annoncée limitée à 15 minutes devra-t-elle être réalisée à une période spécifique et sous quelles contraintes d'exploitation ?</w:t>
            </w:r>
          </w:p>
        </w:tc>
        <w:tc>
          <w:tcPr>
            <w:tcW w:w="5953" w:type="dxa"/>
          </w:tcPr>
          <w:p w:rsidR="002034DF" w:rsidRPr="006D343D" w:rsidRDefault="006D343D" w:rsidP="00191C95">
            <w:pPr>
              <w:tabs>
                <w:tab w:val="left" w:pos="897"/>
              </w:tabs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fr-FR"/>
              </w:rPr>
              <w:t>Les coupures électriques plus ou moins longues devront être planifiées au moins trois semaines à l’avance, afin de pouvoir établir les demandes d’autorisation auprès du commandement opérationnel.</w:t>
            </w:r>
          </w:p>
        </w:tc>
      </w:tr>
      <w:tr w:rsidR="002034DF" w:rsidTr="002034DF">
        <w:trPr>
          <w:trHeight w:val="751"/>
        </w:trPr>
        <w:tc>
          <w:tcPr>
            <w:tcW w:w="846" w:type="dxa"/>
          </w:tcPr>
          <w:p w:rsidR="002034DF" w:rsidRPr="0086237F" w:rsidRDefault="00B41691" w:rsidP="005E2257">
            <w:pPr>
              <w:tabs>
                <w:tab w:val="left" w:pos="897"/>
              </w:tabs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fr-FR"/>
              </w:rPr>
              <w:t>5</w:t>
            </w:r>
          </w:p>
        </w:tc>
        <w:tc>
          <w:tcPr>
            <w:tcW w:w="1559" w:type="dxa"/>
          </w:tcPr>
          <w:p w:rsidR="002034DF" w:rsidRPr="0086237F" w:rsidRDefault="00B41691" w:rsidP="005E2257">
            <w:pPr>
              <w:tabs>
                <w:tab w:val="left" w:pos="897"/>
              </w:tabs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fr-FR"/>
              </w:rPr>
              <w:t>08/10/2026</w:t>
            </w:r>
          </w:p>
        </w:tc>
        <w:tc>
          <w:tcPr>
            <w:tcW w:w="5812" w:type="dxa"/>
          </w:tcPr>
          <w:p w:rsidR="002034DF" w:rsidRPr="00B41691" w:rsidRDefault="00B41691" w:rsidP="00B41691">
            <w:pPr>
              <w:rPr>
                <w:rFonts w:ascii="Times New Roman" w:eastAsia="Times New Roman" w:hAnsi="Times New Roman" w:cs="Times New Roman"/>
                <w:lang w:eastAsia="fr-FR"/>
              </w:rPr>
            </w:pPr>
            <w:r w:rsidRPr="00B22151">
              <w:rPr>
                <w:rFonts w:ascii="Times New Roman" w:eastAsia="Times New Roman" w:hAnsi="Times New Roman" w:cs="Times New Roman"/>
                <w:lang w:eastAsia="fr-FR"/>
              </w:rPr>
              <w:t>Pouvez-vous nous confirmer la quantité de GE à fournir dans le cadre de ce marché ? Dans le CCTP il est mentionné 3 et dans le DPGF il est mentionné 2.</w:t>
            </w:r>
          </w:p>
        </w:tc>
        <w:tc>
          <w:tcPr>
            <w:tcW w:w="5953" w:type="dxa"/>
          </w:tcPr>
          <w:p w:rsidR="002034DF" w:rsidRPr="00B41691" w:rsidRDefault="00B41691" w:rsidP="00B4169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fr-FR"/>
              </w:rPr>
            </w:pPr>
            <w:r w:rsidRPr="00B4169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fr-FR"/>
              </w:rPr>
              <w:t>A l’origine, il en était prévu 03, mais le budget fixé pour ce marché ne permet d’en commander que 02.</w:t>
            </w:r>
          </w:p>
        </w:tc>
      </w:tr>
      <w:tr w:rsidR="002034DF" w:rsidTr="002034DF">
        <w:trPr>
          <w:trHeight w:val="751"/>
        </w:trPr>
        <w:tc>
          <w:tcPr>
            <w:tcW w:w="846" w:type="dxa"/>
          </w:tcPr>
          <w:p w:rsidR="002034DF" w:rsidRPr="0086237F" w:rsidRDefault="00B41691" w:rsidP="005E2257">
            <w:pPr>
              <w:tabs>
                <w:tab w:val="left" w:pos="897"/>
              </w:tabs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fr-FR"/>
              </w:rPr>
              <w:t>6</w:t>
            </w:r>
          </w:p>
        </w:tc>
        <w:tc>
          <w:tcPr>
            <w:tcW w:w="1559" w:type="dxa"/>
          </w:tcPr>
          <w:p w:rsidR="002034DF" w:rsidRPr="0086237F" w:rsidRDefault="00B41691" w:rsidP="005E2257">
            <w:pPr>
              <w:tabs>
                <w:tab w:val="left" w:pos="897"/>
              </w:tabs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fr-FR"/>
              </w:rPr>
              <w:t>08/10/2026</w:t>
            </w:r>
          </w:p>
        </w:tc>
        <w:tc>
          <w:tcPr>
            <w:tcW w:w="5812" w:type="dxa"/>
          </w:tcPr>
          <w:p w:rsidR="002034DF" w:rsidRPr="00B41691" w:rsidRDefault="00B41691" w:rsidP="00B41691">
            <w:pPr>
              <w:rPr>
                <w:rFonts w:ascii="Times New Roman" w:eastAsia="Times New Roman" w:hAnsi="Times New Roman" w:cs="Times New Roman"/>
                <w:lang w:eastAsia="fr-FR"/>
              </w:rPr>
            </w:pPr>
            <w:r w:rsidRPr="00B22151">
              <w:rPr>
                <w:rFonts w:ascii="Times New Roman" w:eastAsia="Times New Roman" w:hAnsi="Times New Roman" w:cs="Times New Roman"/>
                <w:lang w:eastAsia="fr-FR"/>
              </w:rPr>
              <w:t>Pouvez-vous confirmer la capacité des deux réservoirs en container 10 pieds ? 3000L ou 150</w:t>
            </w:r>
            <w:r>
              <w:rPr>
                <w:rFonts w:ascii="Times New Roman" w:eastAsia="Times New Roman" w:hAnsi="Times New Roman" w:cs="Times New Roman"/>
                <w:lang w:eastAsia="fr-FR"/>
              </w:rPr>
              <w:t>00L ?</w:t>
            </w:r>
          </w:p>
        </w:tc>
        <w:tc>
          <w:tcPr>
            <w:tcW w:w="5953" w:type="dxa"/>
          </w:tcPr>
          <w:p w:rsidR="002034DF" w:rsidRPr="00B41691" w:rsidRDefault="00B41691" w:rsidP="00B41691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fr-FR"/>
              </w:rPr>
            </w:pPr>
            <w:r w:rsidRPr="00B4169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fr-FR"/>
              </w:rPr>
              <w:t>Je vous confirme que les 02 réservoirs doivent avoir une capacité de 15000L.</w:t>
            </w:r>
          </w:p>
        </w:tc>
      </w:tr>
      <w:tr w:rsidR="002034DF" w:rsidTr="002034DF">
        <w:trPr>
          <w:trHeight w:val="751"/>
        </w:trPr>
        <w:tc>
          <w:tcPr>
            <w:tcW w:w="846" w:type="dxa"/>
          </w:tcPr>
          <w:p w:rsidR="002034DF" w:rsidRPr="0086237F" w:rsidRDefault="00B41691" w:rsidP="005E2257">
            <w:pPr>
              <w:tabs>
                <w:tab w:val="left" w:pos="897"/>
              </w:tabs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fr-FR"/>
              </w:rPr>
              <w:t>7</w:t>
            </w:r>
          </w:p>
        </w:tc>
        <w:tc>
          <w:tcPr>
            <w:tcW w:w="1559" w:type="dxa"/>
          </w:tcPr>
          <w:p w:rsidR="002034DF" w:rsidRPr="0086237F" w:rsidRDefault="00B41691" w:rsidP="005E2257">
            <w:pPr>
              <w:tabs>
                <w:tab w:val="left" w:pos="897"/>
              </w:tabs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fr-FR"/>
              </w:rPr>
              <w:t>08/10/2026</w:t>
            </w:r>
          </w:p>
        </w:tc>
        <w:tc>
          <w:tcPr>
            <w:tcW w:w="5812" w:type="dxa"/>
          </w:tcPr>
          <w:p w:rsidR="002034DF" w:rsidRPr="00B41691" w:rsidRDefault="00B41691" w:rsidP="00B41691">
            <w:pPr>
              <w:rPr>
                <w:rFonts w:ascii="Times New Roman" w:eastAsia="Times New Roman" w:hAnsi="Times New Roman" w:cs="Times New Roman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lang w:eastAsia="fr-FR"/>
              </w:rPr>
              <w:t>N’ayant aucune garantie sur le bon fonctionnement des compresseurs, pourrions-nous vous proposer d’intégrer directement dans chaque conteneur le démarrage pneumatique ?</w:t>
            </w:r>
          </w:p>
        </w:tc>
        <w:tc>
          <w:tcPr>
            <w:tcW w:w="5953" w:type="dxa"/>
          </w:tcPr>
          <w:p w:rsidR="002034DF" w:rsidRPr="0086237F" w:rsidRDefault="00B41691" w:rsidP="00191C95">
            <w:pPr>
              <w:tabs>
                <w:tab w:val="left" w:pos="897"/>
              </w:tabs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fr-FR"/>
              </w:rPr>
            </w:pPr>
            <w:r w:rsidRPr="00B4169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fr-FR"/>
              </w:rPr>
              <w:t>Avec 02 compresseurs, les bouteilles, et les jeux de vannes le système est fiable, mais vous pouvez, effectivement nous proposer votre solution.</w:t>
            </w:r>
          </w:p>
        </w:tc>
      </w:tr>
      <w:tr w:rsidR="00CD0E07" w:rsidTr="002034DF">
        <w:trPr>
          <w:trHeight w:val="751"/>
        </w:trPr>
        <w:tc>
          <w:tcPr>
            <w:tcW w:w="846" w:type="dxa"/>
          </w:tcPr>
          <w:p w:rsidR="00CD0E07" w:rsidRDefault="00CD0E07" w:rsidP="005E2257">
            <w:pPr>
              <w:tabs>
                <w:tab w:val="left" w:pos="897"/>
              </w:tabs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fr-FR"/>
              </w:rPr>
              <w:t>8</w:t>
            </w:r>
          </w:p>
        </w:tc>
        <w:tc>
          <w:tcPr>
            <w:tcW w:w="1559" w:type="dxa"/>
          </w:tcPr>
          <w:p w:rsidR="00CD0E07" w:rsidRDefault="00CD0E07" w:rsidP="005E2257">
            <w:pPr>
              <w:tabs>
                <w:tab w:val="left" w:pos="897"/>
              </w:tabs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fr-FR"/>
              </w:rPr>
              <w:t>15/10/2026</w:t>
            </w:r>
          </w:p>
        </w:tc>
        <w:tc>
          <w:tcPr>
            <w:tcW w:w="5812" w:type="dxa"/>
          </w:tcPr>
          <w:p w:rsidR="00CD0E07" w:rsidRDefault="00CD0E07" w:rsidP="00CD0E07">
            <w:pPr>
              <w:pStyle w:val="Paragraphedeliste"/>
              <w:numPr>
                <w:ilvl w:val="0"/>
                <w:numId w:val="2"/>
              </w:numPr>
              <w:spacing w:line="240" w:lineRule="auto"/>
              <w:contextualSpacing w:val="0"/>
              <w:rPr>
                <w:rFonts w:ascii="Arial" w:hAnsi="Arial" w:cs="Arial"/>
                <w:sz w:val="20"/>
                <w:szCs w:val="20"/>
                <w:lang w:eastAsia="fr-FR"/>
              </w:rPr>
            </w:pPr>
            <w:r>
              <w:rPr>
                <w:rFonts w:ascii="Arial" w:hAnsi="Arial" w:cs="Arial"/>
                <w:sz w:val="20"/>
                <w:szCs w:val="20"/>
                <w:lang w:eastAsia="fr-FR"/>
              </w:rPr>
              <w:t>Devons-nous prévoir une porte spécifique pour l'accès au conteneur ?</w:t>
            </w:r>
          </w:p>
          <w:p w:rsidR="00CD0E07" w:rsidRDefault="00CD0E07" w:rsidP="00CD0E07">
            <w:pPr>
              <w:pStyle w:val="Paragraphedeliste"/>
              <w:numPr>
                <w:ilvl w:val="0"/>
                <w:numId w:val="2"/>
              </w:numPr>
              <w:spacing w:line="240" w:lineRule="auto"/>
              <w:contextualSpacing w:val="0"/>
              <w:rPr>
                <w:rFonts w:ascii="Arial" w:hAnsi="Arial" w:cs="Arial"/>
                <w:sz w:val="20"/>
                <w:szCs w:val="20"/>
                <w:lang w:eastAsia="fr-FR"/>
              </w:rPr>
            </w:pPr>
            <w:r>
              <w:rPr>
                <w:rFonts w:ascii="Arial" w:hAnsi="Arial" w:cs="Arial"/>
                <w:sz w:val="20"/>
                <w:szCs w:val="20"/>
                <w:lang w:eastAsia="fr-FR"/>
              </w:rPr>
              <w:t>Confirmez-vous que le transformateur sera dans le conteneur ?</w:t>
            </w:r>
          </w:p>
          <w:p w:rsidR="00CD0E07" w:rsidRDefault="00CD0E07" w:rsidP="00CD0E07">
            <w:pPr>
              <w:pStyle w:val="Paragraphedeliste"/>
              <w:numPr>
                <w:ilvl w:val="0"/>
                <w:numId w:val="2"/>
              </w:numPr>
              <w:spacing w:line="240" w:lineRule="auto"/>
              <w:contextualSpacing w:val="0"/>
              <w:rPr>
                <w:rFonts w:ascii="Calibri" w:hAnsi="Calibri" w:cs="Calibri"/>
                <w:sz w:val="22"/>
                <w:szCs w:val="22"/>
                <w:lang w:eastAsia="fr-FR"/>
              </w:rPr>
            </w:pPr>
            <w:r>
              <w:rPr>
                <w:rFonts w:ascii="Arial" w:hAnsi="Arial" w:cs="Arial"/>
                <w:sz w:val="20"/>
                <w:szCs w:val="20"/>
                <w:lang w:eastAsia="fr-FR"/>
              </w:rPr>
              <w:t>Devons-nous prévoir un</w:t>
            </w:r>
            <w:r>
              <w:rPr>
                <w:rFonts w:ascii="Arial" w:hAnsi="Arial" w:cs="Arial"/>
                <w:sz w:val="20"/>
                <w:szCs w:val="20"/>
                <w:lang w:eastAsia="fr-FR"/>
              </w:rPr>
              <w:t xml:space="preserve">e cloison par grillage entre le transformateur et le groupe électrogène ? </w:t>
            </w:r>
          </w:p>
          <w:p w:rsidR="00CD0E07" w:rsidRDefault="00CD0E07" w:rsidP="00B41691">
            <w:pPr>
              <w:rPr>
                <w:rFonts w:ascii="Times New Roman" w:eastAsia="Times New Roman" w:hAnsi="Times New Roman" w:cs="Times New Roman"/>
                <w:lang w:eastAsia="fr-FR"/>
              </w:rPr>
            </w:pPr>
          </w:p>
        </w:tc>
        <w:tc>
          <w:tcPr>
            <w:tcW w:w="5953" w:type="dxa"/>
          </w:tcPr>
          <w:p w:rsidR="00CD0E07" w:rsidRPr="00CD0E07" w:rsidRDefault="00CD0E07" w:rsidP="00CD0E07">
            <w:pPr>
              <w:pStyle w:val="Paragraphedeliste"/>
              <w:numPr>
                <w:ilvl w:val="0"/>
                <w:numId w:val="2"/>
              </w:numPr>
              <w:spacing w:line="240" w:lineRule="auto"/>
              <w:contextualSpacing w:val="0"/>
              <w:rPr>
                <w:rFonts w:ascii="Arial" w:hAnsi="Arial" w:cs="Arial"/>
                <w:sz w:val="20"/>
                <w:szCs w:val="20"/>
                <w:lang w:eastAsia="fr-FR"/>
              </w:rPr>
            </w:pPr>
            <w:r w:rsidRPr="00CD0E07">
              <w:rPr>
                <w:rFonts w:ascii="Arial" w:hAnsi="Arial" w:cs="Arial"/>
                <w:sz w:val="20"/>
                <w:szCs w:val="20"/>
                <w:lang w:eastAsia="fr-FR"/>
              </w:rPr>
              <w:t>Une porte d’accès depuis la nouvelle salle de supervision vers la dalle est nécessaire.</w:t>
            </w:r>
          </w:p>
          <w:p w:rsidR="00CD0E07" w:rsidRPr="00CD0E07" w:rsidRDefault="00CD0E07" w:rsidP="00CD0E07">
            <w:pPr>
              <w:pStyle w:val="Paragraphedeliste"/>
              <w:numPr>
                <w:ilvl w:val="0"/>
                <w:numId w:val="2"/>
              </w:numPr>
              <w:spacing w:line="240" w:lineRule="auto"/>
              <w:contextualSpacing w:val="0"/>
              <w:rPr>
                <w:rFonts w:ascii="Arial" w:hAnsi="Arial" w:cs="Arial"/>
                <w:sz w:val="20"/>
                <w:szCs w:val="20"/>
                <w:lang w:eastAsia="fr-FR"/>
              </w:rPr>
            </w:pPr>
            <w:r w:rsidRPr="00CD0E07">
              <w:rPr>
                <w:rFonts w:ascii="Arial" w:hAnsi="Arial" w:cs="Arial"/>
                <w:sz w:val="20"/>
                <w:szCs w:val="20"/>
                <w:lang w:eastAsia="fr-FR"/>
              </w:rPr>
              <w:t>Le transformateur n’est pas obligatoirement situé dans le même conteneur que le groupe électrogène.</w:t>
            </w:r>
          </w:p>
          <w:p w:rsidR="00CD0E07" w:rsidRPr="00CD0E07" w:rsidRDefault="00CD0E07" w:rsidP="00CD0E07">
            <w:pPr>
              <w:pStyle w:val="Paragraphedeliste"/>
              <w:numPr>
                <w:ilvl w:val="0"/>
                <w:numId w:val="2"/>
              </w:numPr>
              <w:spacing w:line="240" w:lineRule="auto"/>
              <w:contextualSpacing w:val="0"/>
              <w:rPr>
                <w:rFonts w:ascii="Arial" w:hAnsi="Arial" w:cs="Arial"/>
                <w:sz w:val="20"/>
                <w:szCs w:val="20"/>
                <w:lang w:eastAsia="fr-FR"/>
              </w:rPr>
            </w:pPr>
            <w:r w:rsidRPr="00CD0E07">
              <w:rPr>
                <w:rFonts w:ascii="Arial" w:hAnsi="Arial" w:cs="Arial"/>
                <w:sz w:val="20"/>
                <w:szCs w:val="20"/>
                <w:lang w:eastAsia="fr-FR"/>
              </w:rPr>
              <w:t>Il me parait opportun de séparer physiquement le transformateur du GE avec un accès pour les deux organes.</w:t>
            </w:r>
          </w:p>
          <w:p w:rsidR="00CD0E07" w:rsidRPr="00B41691" w:rsidRDefault="00CD0E07" w:rsidP="00191C95">
            <w:pPr>
              <w:tabs>
                <w:tab w:val="left" w:pos="897"/>
              </w:tabs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fr-FR"/>
              </w:rPr>
            </w:pPr>
          </w:p>
        </w:tc>
      </w:tr>
      <w:tr w:rsidR="00CD0E07" w:rsidTr="002034DF">
        <w:trPr>
          <w:trHeight w:val="751"/>
        </w:trPr>
        <w:tc>
          <w:tcPr>
            <w:tcW w:w="846" w:type="dxa"/>
          </w:tcPr>
          <w:p w:rsidR="00CD0E07" w:rsidRDefault="00CD0E07" w:rsidP="005E2257">
            <w:pPr>
              <w:tabs>
                <w:tab w:val="left" w:pos="897"/>
              </w:tabs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fr-FR"/>
              </w:rPr>
              <w:lastRenderedPageBreak/>
              <w:t>9</w:t>
            </w:r>
            <w:bookmarkStart w:id="0" w:name="_GoBack"/>
            <w:bookmarkEnd w:id="0"/>
          </w:p>
        </w:tc>
        <w:tc>
          <w:tcPr>
            <w:tcW w:w="1559" w:type="dxa"/>
          </w:tcPr>
          <w:p w:rsidR="00CD0E07" w:rsidRDefault="00CD0E07" w:rsidP="005E2257">
            <w:pPr>
              <w:tabs>
                <w:tab w:val="left" w:pos="897"/>
              </w:tabs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fr-FR"/>
              </w:rPr>
              <w:t>16/10/2026</w:t>
            </w:r>
          </w:p>
        </w:tc>
        <w:tc>
          <w:tcPr>
            <w:tcW w:w="5812" w:type="dxa"/>
          </w:tcPr>
          <w:p w:rsidR="00CD0E07" w:rsidRDefault="00CD0E07" w:rsidP="00CD0E07">
            <w:r>
              <w:t>U</w:t>
            </w:r>
            <w:r>
              <w:t>n conteneur de 10pieds ne peut physiquement pas accueillir une capacité de 15000L. Il faudrait soit passer sur un conteneur 20pieds, soit réduire le volume. Merci de confirmer votre choix?</w:t>
            </w:r>
          </w:p>
          <w:p w:rsidR="00CD0E07" w:rsidRDefault="00CD0E07" w:rsidP="00CD0E07">
            <w:pPr>
              <w:pStyle w:val="Paragraphedeliste"/>
              <w:spacing w:line="240" w:lineRule="auto"/>
              <w:contextualSpacing w:val="0"/>
              <w:rPr>
                <w:rFonts w:ascii="Arial" w:hAnsi="Arial" w:cs="Arial"/>
                <w:sz w:val="20"/>
                <w:szCs w:val="20"/>
                <w:lang w:eastAsia="fr-FR"/>
              </w:rPr>
            </w:pPr>
          </w:p>
        </w:tc>
        <w:tc>
          <w:tcPr>
            <w:tcW w:w="5953" w:type="dxa"/>
          </w:tcPr>
          <w:p w:rsidR="00CD0E07" w:rsidRPr="00CD0E07" w:rsidRDefault="00CD0E07" w:rsidP="00CD0E07">
            <w:r w:rsidRPr="00CD0E07">
              <w:t>Pour cette dernière question, effectivement il faudrait des conteneurs 20 pieds pour atteindre la capacité de 15000L.</w:t>
            </w:r>
          </w:p>
        </w:tc>
      </w:tr>
    </w:tbl>
    <w:p w:rsidR="009B30DE" w:rsidRDefault="009B30DE"/>
    <w:sectPr w:rsidR="009B30DE" w:rsidSect="00191C9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DE23F7"/>
    <w:multiLevelType w:val="hybridMultilevel"/>
    <w:tmpl w:val="5AFAA5C8"/>
    <w:lvl w:ilvl="0" w:tplc="AF74738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CD6542"/>
    <w:multiLevelType w:val="hybridMultilevel"/>
    <w:tmpl w:val="01A6849C"/>
    <w:lvl w:ilvl="0" w:tplc="376EEBC2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E43298"/>
    <w:multiLevelType w:val="hybridMultilevel"/>
    <w:tmpl w:val="8862BFBC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1C95"/>
    <w:rsid w:val="00191C95"/>
    <w:rsid w:val="002034DF"/>
    <w:rsid w:val="006D343D"/>
    <w:rsid w:val="009B30DE"/>
    <w:rsid w:val="00B41691"/>
    <w:rsid w:val="00BB354C"/>
    <w:rsid w:val="00CD0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98327F"/>
  <w15:chartTrackingRefBased/>
  <w15:docId w15:val="{EF1F66CF-AC2A-4103-AE5C-DB633DA7F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1C9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191C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B41691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018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33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33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4AA451-6D04-4889-B463-9CCB95F17C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456</Words>
  <Characters>2509</Characters>
  <Application>Microsoft Office Word</Application>
  <DocSecurity>0</DocSecurity>
  <Lines>20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Ministère de la Défense</Company>
  <LinksUpToDate>false</LinksUpToDate>
  <CharactersWithSpaces>2960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GARCIA Jeremy TSEF 2E CLASSE DEF</dc:creator>
  <cp:keywords/>
  <dc:description/>
  <cp:lastModifiedBy>GARCIA Jeremy TSEF 2E CLASSE DEF</cp:lastModifiedBy>
  <cp:revision>5</cp:revision>
  <dcterms:created xsi:type="dcterms:W3CDTF">2026-10-06T13:42:00Z</dcterms:created>
  <dcterms:modified xsi:type="dcterms:W3CDTF">2026-10-21T11:40:00Z</dcterms:modified>
</cp:coreProperties>
</file>