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55A42" w14:textId="77777777" w:rsidR="001321A0" w:rsidRDefault="00535B0E" w:rsidP="001321A0">
      <w:pPr>
        <w:jc w:val="center"/>
      </w:pPr>
      <w:r>
        <w:t xml:space="preserve">Questions </w:t>
      </w:r>
      <w:r w:rsidR="001321A0">
        <w:t xml:space="preserve">Marché de prestations d’audits </w:t>
      </w:r>
    </w:p>
    <w:p w14:paraId="2B723414" w14:textId="64BDC3EB" w:rsidR="00535B0E" w:rsidRDefault="00535B0E" w:rsidP="001321A0">
      <w:pPr>
        <w:jc w:val="center"/>
      </w:pPr>
      <w:r>
        <w:t xml:space="preserve">LOT </w:t>
      </w:r>
      <w:r w:rsidR="00DF09BF">
        <w:t>1</w:t>
      </w:r>
    </w:p>
    <w:tbl>
      <w:tblPr>
        <w:tblStyle w:val="Grilledutableau"/>
        <w:tblW w:w="9176" w:type="dxa"/>
        <w:tblLook w:val="04A0" w:firstRow="1" w:lastRow="0" w:firstColumn="1" w:lastColumn="0" w:noHBand="0" w:noVBand="1"/>
      </w:tblPr>
      <w:tblGrid>
        <w:gridCol w:w="1100"/>
        <w:gridCol w:w="4922"/>
        <w:gridCol w:w="3154"/>
      </w:tblGrid>
      <w:tr w:rsidR="00E07F8D" w14:paraId="586D0FDE" w14:textId="77777777" w:rsidTr="00E07F8D">
        <w:tc>
          <w:tcPr>
            <w:tcW w:w="1084" w:type="dxa"/>
          </w:tcPr>
          <w:p w14:paraId="7E200F29" w14:textId="2788C473" w:rsidR="00E07F8D" w:rsidRPr="00CC7D04" w:rsidRDefault="00E07F8D" w:rsidP="00CC7D04">
            <w:pPr>
              <w:jc w:val="center"/>
              <w:rPr>
                <w:b/>
                <w:bCs/>
              </w:rPr>
            </w:pPr>
            <w:r>
              <w:rPr>
                <w:b/>
                <w:bCs/>
              </w:rPr>
              <w:t xml:space="preserve">Numéro </w:t>
            </w:r>
          </w:p>
        </w:tc>
        <w:tc>
          <w:tcPr>
            <w:tcW w:w="4933" w:type="dxa"/>
          </w:tcPr>
          <w:p w14:paraId="3BA269C6" w14:textId="66C3BC6A" w:rsidR="00E07F8D" w:rsidRPr="00CC7D04" w:rsidRDefault="00E07F8D" w:rsidP="00CC7D04">
            <w:pPr>
              <w:jc w:val="center"/>
              <w:rPr>
                <w:b/>
                <w:bCs/>
              </w:rPr>
            </w:pPr>
            <w:r w:rsidRPr="00CC7D04">
              <w:rPr>
                <w:b/>
                <w:bCs/>
              </w:rPr>
              <w:t>Questions</w:t>
            </w:r>
          </w:p>
        </w:tc>
        <w:tc>
          <w:tcPr>
            <w:tcW w:w="3159" w:type="dxa"/>
          </w:tcPr>
          <w:p w14:paraId="60C09DA8" w14:textId="1687E6A6" w:rsidR="00E07F8D" w:rsidRPr="00CC7D04" w:rsidRDefault="00E07F8D" w:rsidP="00CC7D04">
            <w:pPr>
              <w:jc w:val="center"/>
              <w:rPr>
                <w:b/>
                <w:bCs/>
              </w:rPr>
            </w:pPr>
            <w:r w:rsidRPr="00CC7D04">
              <w:rPr>
                <w:b/>
                <w:bCs/>
              </w:rPr>
              <w:t>Réponses</w:t>
            </w:r>
          </w:p>
        </w:tc>
      </w:tr>
      <w:tr w:rsidR="00E07F8D" w14:paraId="0623DCB5" w14:textId="77777777" w:rsidTr="00E07F8D">
        <w:tc>
          <w:tcPr>
            <w:tcW w:w="1084" w:type="dxa"/>
          </w:tcPr>
          <w:p w14:paraId="2D9373E1" w14:textId="44E53443" w:rsidR="00E07F8D" w:rsidRPr="001321A0" w:rsidRDefault="00E07F8D" w:rsidP="00535B0E">
            <w:pPr>
              <w:pStyle w:val="p1"/>
              <w:jc w:val="both"/>
              <w:rPr>
                <w:sz w:val="20"/>
                <w:szCs w:val="20"/>
              </w:rPr>
            </w:pPr>
            <w:r>
              <w:rPr>
                <w:sz w:val="20"/>
                <w:szCs w:val="20"/>
              </w:rPr>
              <w:t>1</w:t>
            </w:r>
          </w:p>
        </w:tc>
        <w:tc>
          <w:tcPr>
            <w:tcW w:w="4933" w:type="dxa"/>
          </w:tcPr>
          <w:p w14:paraId="08B4B0AC" w14:textId="2EF2A43D" w:rsidR="00E07F8D" w:rsidRPr="001321A0" w:rsidRDefault="00E07F8D" w:rsidP="00535B0E">
            <w:pPr>
              <w:pStyle w:val="p1"/>
              <w:jc w:val="both"/>
              <w:rPr>
                <w:sz w:val="20"/>
                <w:szCs w:val="20"/>
              </w:rPr>
            </w:pPr>
            <w:r w:rsidRPr="001321A0">
              <w:rPr>
                <w:sz w:val="20"/>
                <w:szCs w:val="20"/>
              </w:rPr>
              <w:t>Pouvez-vous confirmer que le prix renseigné pour chaque unité d’œuvre constitue un forfait applicable quelle que soit la charge effective comprise dans la tranche concernée (31 à 90 jours, 91 à 120 jours et 121 à 180 jours) ?</w:t>
            </w:r>
          </w:p>
          <w:p w14:paraId="7A8EA5F6" w14:textId="77777777" w:rsidR="00E07F8D" w:rsidRDefault="00E07F8D"/>
        </w:tc>
        <w:tc>
          <w:tcPr>
            <w:tcW w:w="3159" w:type="dxa"/>
          </w:tcPr>
          <w:p w14:paraId="415901DE" w14:textId="2BB3CCE1" w:rsidR="00E07F8D" w:rsidRPr="00900842" w:rsidRDefault="00E07F8D" w:rsidP="00D606AB">
            <w:pPr>
              <w:pStyle w:val="p1"/>
              <w:pBdr>
                <w:top w:val="nil"/>
                <w:left w:val="nil"/>
                <w:bottom w:val="nil"/>
                <w:right w:val="nil"/>
                <w:between w:val="nil"/>
                <w:bar w:val="nil"/>
              </w:pBdr>
              <w:jc w:val="both"/>
              <w:rPr>
                <w:color w:val="000000" w:themeColor="text1"/>
                <w:sz w:val="20"/>
                <w:szCs w:val="20"/>
              </w:rPr>
            </w:pPr>
            <w:r w:rsidRPr="00900842">
              <w:rPr>
                <w:color w:val="000000" w:themeColor="text1"/>
                <w:sz w:val="20"/>
                <w:szCs w:val="20"/>
              </w:rPr>
              <w:t xml:space="preserve">Le montage financier de l’accord-cadre repose sur des unités d’œuvre « simple », « forte » et « complexe » au regard des charges associées pour chaque type d’audit (« simple » : charge comprise entre 31 et 90 jours ouvrés / « moyenne » : charge comprise entre 91 et 120 jours ouvrés / « complexe » : charge comprise entre 121 et 180 jours ouvrés). </w:t>
            </w:r>
          </w:p>
          <w:p w14:paraId="0EA97A71" w14:textId="77777777" w:rsidR="00E07F8D" w:rsidRPr="00900842" w:rsidRDefault="00E07F8D" w:rsidP="00D606AB">
            <w:pPr>
              <w:pStyle w:val="p1"/>
              <w:pBdr>
                <w:top w:val="nil"/>
                <w:left w:val="nil"/>
                <w:bottom w:val="nil"/>
                <w:right w:val="nil"/>
                <w:between w:val="nil"/>
                <w:bar w:val="nil"/>
              </w:pBdr>
              <w:jc w:val="both"/>
              <w:rPr>
                <w:color w:val="000000" w:themeColor="text1"/>
                <w:sz w:val="20"/>
                <w:szCs w:val="20"/>
              </w:rPr>
            </w:pPr>
          </w:p>
          <w:p w14:paraId="4D81C308" w14:textId="25C3817B" w:rsidR="00E07F8D" w:rsidRPr="00900842" w:rsidRDefault="00E07F8D" w:rsidP="00E5520A">
            <w:pPr>
              <w:pStyle w:val="p1"/>
              <w:jc w:val="both"/>
              <w:rPr>
                <w:color w:val="000000" w:themeColor="text1"/>
              </w:rPr>
            </w:pPr>
            <w:r w:rsidRPr="00900842">
              <w:rPr>
                <w:color w:val="000000" w:themeColor="text1"/>
                <w:sz w:val="20"/>
                <w:szCs w:val="20"/>
              </w:rPr>
              <w:t xml:space="preserve">Le prix à renseigner par vos soins pour chaque unité d’œuvre correspond bien à un prix forfaitaire unique et ce, quelle que soit la charge de travail effective occasionnée. </w:t>
            </w:r>
          </w:p>
        </w:tc>
      </w:tr>
      <w:tr w:rsidR="00E07F8D" w14:paraId="649401F2" w14:textId="77777777" w:rsidTr="00E07F8D">
        <w:tc>
          <w:tcPr>
            <w:tcW w:w="1084" w:type="dxa"/>
          </w:tcPr>
          <w:p w14:paraId="54E9E6D4" w14:textId="2812C8EE" w:rsidR="00E07F8D" w:rsidRPr="001321A0" w:rsidRDefault="00E07F8D" w:rsidP="001321A0">
            <w:pPr>
              <w:pStyle w:val="p1"/>
              <w:jc w:val="both"/>
              <w:rPr>
                <w:sz w:val="20"/>
                <w:szCs w:val="20"/>
              </w:rPr>
            </w:pPr>
            <w:r>
              <w:rPr>
                <w:sz w:val="20"/>
                <w:szCs w:val="20"/>
              </w:rPr>
              <w:t>2</w:t>
            </w:r>
          </w:p>
        </w:tc>
        <w:tc>
          <w:tcPr>
            <w:tcW w:w="4933" w:type="dxa"/>
          </w:tcPr>
          <w:p w14:paraId="3AC1507E" w14:textId="0CD14FAA" w:rsidR="00E07F8D" w:rsidRPr="001321A0" w:rsidRDefault="00E07F8D" w:rsidP="001321A0">
            <w:pPr>
              <w:pStyle w:val="p1"/>
              <w:jc w:val="both"/>
              <w:rPr>
                <w:sz w:val="20"/>
                <w:szCs w:val="20"/>
              </w:rPr>
            </w:pPr>
            <w:r w:rsidRPr="001321A0">
              <w:rPr>
                <w:sz w:val="20"/>
                <w:szCs w:val="20"/>
              </w:rPr>
              <w:t>La charge indiquée dans le BPU correspond-elle à des jours-personnes cumulés pour l’ensemble de l’équipe mobilisée ou à la durée globale de la mission ?</w:t>
            </w:r>
          </w:p>
          <w:p w14:paraId="4FCC7F1E" w14:textId="77777777" w:rsidR="00E07F8D" w:rsidRPr="001321A0" w:rsidRDefault="00E07F8D" w:rsidP="001321A0">
            <w:pPr>
              <w:jc w:val="both"/>
              <w:rPr>
                <w:rFonts w:ascii="Helvetica" w:eastAsia="Times New Roman" w:hAnsi="Helvetica" w:cs="Times New Roman"/>
                <w:color w:val="000000"/>
                <w:kern w:val="0"/>
                <w:sz w:val="20"/>
                <w:szCs w:val="20"/>
                <w:lang w:eastAsia="fr-FR"/>
                <w14:ligatures w14:val="none"/>
              </w:rPr>
            </w:pPr>
          </w:p>
        </w:tc>
        <w:tc>
          <w:tcPr>
            <w:tcW w:w="3159" w:type="dxa"/>
          </w:tcPr>
          <w:p w14:paraId="73357345" w14:textId="4B7A3E81" w:rsidR="00E07F8D" w:rsidRPr="00900842" w:rsidRDefault="00E07F8D" w:rsidP="00682771">
            <w:pPr>
              <w:pStyle w:val="p1"/>
              <w:jc w:val="both"/>
              <w:rPr>
                <w:color w:val="000000" w:themeColor="text1"/>
              </w:rPr>
            </w:pPr>
            <w:r w:rsidRPr="00900842">
              <w:rPr>
                <w:color w:val="000000" w:themeColor="text1"/>
                <w:sz w:val="20"/>
                <w:szCs w:val="20"/>
              </w:rPr>
              <w:t xml:space="preserve">La charge indiquée dans les unités d’œuvre du BPU correspond au nombre de j/H cumulés mobilisés pour la réalisation de la mission. </w:t>
            </w:r>
          </w:p>
        </w:tc>
      </w:tr>
      <w:tr w:rsidR="00E07F8D" w14:paraId="725D16C0" w14:textId="77777777" w:rsidTr="00E07F8D">
        <w:tc>
          <w:tcPr>
            <w:tcW w:w="1084" w:type="dxa"/>
          </w:tcPr>
          <w:p w14:paraId="0CFA4E5D" w14:textId="73B31D16" w:rsidR="00E07F8D" w:rsidRPr="001321A0" w:rsidRDefault="00E07F8D" w:rsidP="001321A0">
            <w:pPr>
              <w:pStyle w:val="p1"/>
              <w:jc w:val="both"/>
              <w:rPr>
                <w:sz w:val="20"/>
                <w:szCs w:val="20"/>
              </w:rPr>
            </w:pPr>
            <w:r>
              <w:rPr>
                <w:sz w:val="20"/>
                <w:szCs w:val="20"/>
              </w:rPr>
              <w:t>3</w:t>
            </w:r>
          </w:p>
        </w:tc>
        <w:tc>
          <w:tcPr>
            <w:tcW w:w="4933" w:type="dxa"/>
          </w:tcPr>
          <w:p w14:paraId="609FC0FC" w14:textId="2C492417" w:rsidR="00E07F8D" w:rsidRPr="001321A0" w:rsidRDefault="00E07F8D" w:rsidP="001321A0">
            <w:pPr>
              <w:pStyle w:val="p1"/>
              <w:jc w:val="both"/>
              <w:rPr>
                <w:sz w:val="20"/>
                <w:szCs w:val="20"/>
              </w:rPr>
            </w:pPr>
            <w:r w:rsidRPr="001321A0">
              <w:rPr>
                <w:sz w:val="20"/>
                <w:szCs w:val="20"/>
              </w:rPr>
              <w:t>Dans quelles conditions l’unité d’œuvre « coût par jour ouvré supplémentaire » peut-elle être utilisée ? Peut-elle compléter chacune des tranches prévues au BPU ou uniquement les missions dépassant 180 jours ouvrés ?</w:t>
            </w:r>
          </w:p>
          <w:p w14:paraId="42FEC740" w14:textId="77777777" w:rsidR="00E07F8D" w:rsidRPr="001321A0" w:rsidRDefault="00E07F8D" w:rsidP="001321A0">
            <w:pPr>
              <w:jc w:val="both"/>
              <w:rPr>
                <w:rFonts w:ascii="Helvetica" w:eastAsia="Times New Roman" w:hAnsi="Helvetica" w:cs="Times New Roman"/>
                <w:color w:val="000000"/>
                <w:kern w:val="0"/>
                <w:sz w:val="20"/>
                <w:szCs w:val="20"/>
                <w:lang w:eastAsia="fr-FR"/>
                <w14:ligatures w14:val="none"/>
              </w:rPr>
            </w:pPr>
          </w:p>
        </w:tc>
        <w:tc>
          <w:tcPr>
            <w:tcW w:w="3159" w:type="dxa"/>
          </w:tcPr>
          <w:p w14:paraId="20BA5811" w14:textId="2C37A681" w:rsidR="00E07F8D" w:rsidRPr="00900842" w:rsidRDefault="00E07F8D" w:rsidP="00CD26CC">
            <w:pPr>
              <w:pStyle w:val="p1"/>
              <w:jc w:val="both"/>
              <w:rPr>
                <w:sz w:val="20"/>
                <w:szCs w:val="20"/>
              </w:rPr>
            </w:pPr>
            <w:r w:rsidRPr="00900842">
              <w:rPr>
                <w:sz w:val="20"/>
                <w:szCs w:val="20"/>
              </w:rPr>
              <w:t>L’unité d’œuvre « coût par jour ouvré supplémentaire » peut-être utilisée pour compléter chacune des UO prévues au BPU, elle n’est donc pas exclusive à la dernière tranche dépassant 180 jours.</w:t>
            </w:r>
          </w:p>
          <w:p w14:paraId="223C5D3A" w14:textId="77777777" w:rsidR="00E07F8D" w:rsidRPr="00900842" w:rsidRDefault="00E07F8D" w:rsidP="00CD26CC">
            <w:pPr>
              <w:pStyle w:val="p1"/>
              <w:jc w:val="both"/>
              <w:rPr>
                <w:color w:val="000000" w:themeColor="text1"/>
                <w:sz w:val="20"/>
                <w:szCs w:val="20"/>
              </w:rPr>
            </w:pPr>
          </w:p>
          <w:p w14:paraId="3F00B25B" w14:textId="2F0AA5AE" w:rsidR="00E07F8D" w:rsidRPr="00900842" w:rsidRDefault="00E07F8D" w:rsidP="00CD26CC">
            <w:pPr>
              <w:pStyle w:val="p1"/>
              <w:jc w:val="both"/>
              <w:rPr>
                <w:color w:val="000000" w:themeColor="text1"/>
                <w:sz w:val="20"/>
                <w:szCs w:val="20"/>
              </w:rPr>
            </w:pPr>
            <w:r w:rsidRPr="00900842">
              <w:rPr>
                <w:color w:val="000000" w:themeColor="text1"/>
                <w:sz w:val="20"/>
                <w:szCs w:val="20"/>
              </w:rPr>
              <w:t>Elle s’appliquera en cas de dépassement de charges prévue dans le cadre de l’exécution des prestations afférentes à l’UO commandée.</w:t>
            </w:r>
          </w:p>
          <w:p w14:paraId="432EB831" w14:textId="28309CB6" w:rsidR="00E07F8D" w:rsidRPr="00900842" w:rsidRDefault="00E07F8D" w:rsidP="00CD26CC">
            <w:pPr>
              <w:pStyle w:val="p1"/>
              <w:jc w:val="both"/>
              <w:rPr>
                <w:sz w:val="20"/>
                <w:szCs w:val="20"/>
              </w:rPr>
            </w:pPr>
          </w:p>
        </w:tc>
      </w:tr>
      <w:tr w:rsidR="00E07F8D" w14:paraId="49E6ACEC" w14:textId="77777777" w:rsidTr="00E07F8D">
        <w:tc>
          <w:tcPr>
            <w:tcW w:w="1084" w:type="dxa"/>
          </w:tcPr>
          <w:p w14:paraId="19468C28" w14:textId="396FD1E6" w:rsidR="00E07F8D" w:rsidRPr="006B65BA" w:rsidRDefault="00E07F8D" w:rsidP="001321A0">
            <w:pPr>
              <w:pStyle w:val="p1"/>
              <w:jc w:val="both"/>
              <w:rPr>
                <w:color w:val="000000" w:themeColor="text1"/>
                <w:sz w:val="20"/>
                <w:szCs w:val="20"/>
              </w:rPr>
            </w:pPr>
            <w:r>
              <w:rPr>
                <w:color w:val="000000" w:themeColor="text1"/>
                <w:sz w:val="20"/>
                <w:szCs w:val="20"/>
              </w:rPr>
              <w:t>4</w:t>
            </w:r>
          </w:p>
        </w:tc>
        <w:tc>
          <w:tcPr>
            <w:tcW w:w="4933" w:type="dxa"/>
          </w:tcPr>
          <w:p w14:paraId="21CB9060" w14:textId="799D0E9D" w:rsidR="00E07F8D" w:rsidRPr="006B65BA" w:rsidRDefault="00E07F8D" w:rsidP="001321A0">
            <w:pPr>
              <w:pStyle w:val="p1"/>
              <w:jc w:val="both"/>
              <w:rPr>
                <w:color w:val="000000" w:themeColor="text1"/>
                <w:sz w:val="20"/>
                <w:szCs w:val="20"/>
              </w:rPr>
            </w:pPr>
            <w:r w:rsidRPr="006B65BA">
              <w:rPr>
                <w:color w:val="000000" w:themeColor="text1"/>
                <w:sz w:val="20"/>
                <w:szCs w:val="20"/>
              </w:rPr>
              <w:t>Pouvez-vous communiquer, à titre indicatif, la répartition prévisionnelle des audits entre les différentes catégories du lot n°</w:t>
            </w:r>
            <w:r>
              <w:rPr>
                <w:color w:val="000000" w:themeColor="text1"/>
                <w:sz w:val="20"/>
                <w:szCs w:val="20"/>
              </w:rPr>
              <w:t>1</w:t>
            </w:r>
            <w:r w:rsidRPr="006B65BA">
              <w:rPr>
                <w:color w:val="000000" w:themeColor="text1"/>
                <w:sz w:val="20"/>
                <w:szCs w:val="20"/>
              </w:rPr>
              <w:t xml:space="preserve"> ainsi que les tranches de charge les plus fréquemment envisagées ?</w:t>
            </w:r>
          </w:p>
          <w:p w14:paraId="187D9595" w14:textId="77777777" w:rsidR="00E07F8D" w:rsidRPr="006B65BA" w:rsidRDefault="00E07F8D" w:rsidP="001321A0">
            <w:pPr>
              <w:jc w:val="both"/>
              <w:rPr>
                <w:rFonts w:ascii="Helvetica" w:eastAsia="Times New Roman" w:hAnsi="Helvetica" w:cs="Times New Roman"/>
                <w:color w:val="000000" w:themeColor="text1"/>
                <w:kern w:val="0"/>
                <w:sz w:val="20"/>
                <w:szCs w:val="20"/>
                <w:lang w:eastAsia="fr-FR"/>
                <w14:ligatures w14:val="none"/>
              </w:rPr>
            </w:pPr>
          </w:p>
        </w:tc>
        <w:tc>
          <w:tcPr>
            <w:tcW w:w="3159" w:type="dxa"/>
          </w:tcPr>
          <w:p w14:paraId="24E03F3C" w14:textId="7FD80DEE" w:rsidR="00E07F8D" w:rsidRPr="00900842" w:rsidRDefault="00E07F8D" w:rsidP="009322B4">
            <w:pPr>
              <w:pStyle w:val="p1"/>
              <w:pBdr>
                <w:top w:val="nil"/>
                <w:left w:val="nil"/>
                <w:bottom w:val="nil"/>
                <w:right w:val="nil"/>
                <w:between w:val="nil"/>
                <w:bar w:val="nil"/>
              </w:pBdr>
              <w:jc w:val="both"/>
              <w:rPr>
                <w:color w:val="000000" w:themeColor="text1"/>
                <w:sz w:val="20"/>
                <w:szCs w:val="20"/>
              </w:rPr>
            </w:pPr>
            <w:r>
              <w:rPr>
                <w:color w:val="000000" w:themeColor="text1"/>
                <w:sz w:val="20"/>
                <w:szCs w:val="20"/>
              </w:rPr>
              <w:t xml:space="preserve">A titre indicatif, les audits  d’applicatifs métiers sont estimés à deux tiers des commandes prévisionnelles. </w:t>
            </w:r>
          </w:p>
        </w:tc>
      </w:tr>
      <w:tr w:rsidR="00E07F8D" w14:paraId="27C086EC" w14:textId="77777777" w:rsidTr="00E07F8D">
        <w:tc>
          <w:tcPr>
            <w:tcW w:w="1084" w:type="dxa"/>
          </w:tcPr>
          <w:p w14:paraId="1B2B9B92" w14:textId="11D4369B" w:rsidR="00E07F8D" w:rsidRDefault="00E07F8D" w:rsidP="001321A0">
            <w:pPr>
              <w:pStyle w:val="p1"/>
              <w:jc w:val="both"/>
              <w:rPr>
                <w:color w:val="000000" w:themeColor="text1"/>
                <w:sz w:val="20"/>
                <w:szCs w:val="20"/>
              </w:rPr>
            </w:pPr>
            <w:r>
              <w:rPr>
                <w:color w:val="000000" w:themeColor="text1"/>
                <w:sz w:val="20"/>
                <w:szCs w:val="20"/>
              </w:rPr>
              <w:t>5</w:t>
            </w:r>
          </w:p>
        </w:tc>
        <w:tc>
          <w:tcPr>
            <w:tcW w:w="4933" w:type="dxa"/>
          </w:tcPr>
          <w:p w14:paraId="783683AF" w14:textId="427B9C65" w:rsidR="00E07F8D" w:rsidRPr="006B65BA" w:rsidRDefault="00E07F8D" w:rsidP="001321A0">
            <w:pPr>
              <w:pStyle w:val="p1"/>
              <w:jc w:val="both"/>
              <w:rPr>
                <w:color w:val="000000" w:themeColor="text1"/>
                <w:sz w:val="20"/>
                <w:szCs w:val="20"/>
              </w:rPr>
            </w:pPr>
            <w:r>
              <w:rPr>
                <w:color w:val="000000" w:themeColor="text1"/>
                <w:sz w:val="20"/>
                <w:szCs w:val="20"/>
              </w:rPr>
              <w:t>Report de DLRO et modification du DCE</w:t>
            </w:r>
          </w:p>
        </w:tc>
        <w:tc>
          <w:tcPr>
            <w:tcW w:w="3159" w:type="dxa"/>
          </w:tcPr>
          <w:p w14:paraId="5E66C5D6" w14:textId="5047ECBB" w:rsidR="00E07F8D" w:rsidRDefault="00E07F8D" w:rsidP="009322B4">
            <w:pPr>
              <w:pStyle w:val="p1"/>
              <w:pBdr>
                <w:top w:val="nil"/>
                <w:left w:val="nil"/>
                <w:bottom w:val="nil"/>
                <w:right w:val="nil"/>
                <w:between w:val="nil"/>
                <w:bar w:val="nil"/>
              </w:pBdr>
              <w:jc w:val="both"/>
              <w:rPr>
                <w:color w:val="000000" w:themeColor="text1"/>
                <w:sz w:val="20"/>
                <w:szCs w:val="20"/>
              </w:rPr>
            </w:pPr>
            <w:r>
              <w:rPr>
                <w:color w:val="000000" w:themeColor="text1"/>
                <w:sz w:val="20"/>
                <w:szCs w:val="20"/>
              </w:rPr>
              <w:t>En raison des modifications apportées, la DLRO est reportée au 7 octobre 2026 à 12H. Une version modifiée du DCE va vous être communiquée.</w:t>
            </w:r>
          </w:p>
        </w:tc>
      </w:tr>
      <w:tr w:rsidR="00E07F8D" w14:paraId="1AB3EF08" w14:textId="77777777" w:rsidTr="00E07F8D">
        <w:tc>
          <w:tcPr>
            <w:tcW w:w="1084" w:type="dxa"/>
          </w:tcPr>
          <w:p w14:paraId="466AB892" w14:textId="153F87D1" w:rsidR="00E07F8D" w:rsidRPr="00E07F8D" w:rsidRDefault="00E07F8D" w:rsidP="00E07F8D">
            <w:pPr>
              <w:pStyle w:val="p1"/>
              <w:jc w:val="both"/>
              <w:rPr>
                <w:sz w:val="20"/>
                <w:szCs w:val="20"/>
              </w:rPr>
            </w:pPr>
            <w:r>
              <w:rPr>
                <w:sz w:val="20"/>
                <w:szCs w:val="20"/>
              </w:rPr>
              <w:t>6</w:t>
            </w:r>
          </w:p>
        </w:tc>
        <w:tc>
          <w:tcPr>
            <w:tcW w:w="4933" w:type="dxa"/>
          </w:tcPr>
          <w:p w14:paraId="33579EB6" w14:textId="0D28B57A" w:rsidR="00E07F8D" w:rsidRPr="00D62A5C" w:rsidRDefault="00E07F8D" w:rsidP="00E07F8D">
            <w:pPr>
              <w:pStyle w:val="p1"/>
              <w:jc w:val="both"/>
              <w:rPr>
                <w:sz w:val="20"/>
                <w:szCs w:val="20"/>
              </w:rPr>
            </w:pPr>
            <w:r w:rsidRPr="00D62A5C">
              <w:rPr>
                <w:sz w:val="20"/>
                <w:szCs w:val="20"/>
              </w:rPr>
              <w:t>Serait-il possible d’obtenir la répartition historique du nombre de missions d’audit (lot 1) engagées lors du précédent marché par UO ? L’objectif serait d’apprécier la charge historique des missions d’audit réalisées par unité d’œuvre.</w:t>
            </w:r>
          </w:p>
          <w:p w14:paraId="0C2244E9" w14:textId="77777777" w:rsidR="00E07F8D" w:rsidRPr="00D62A5C" w:rsidRDefault="00E07F8D" w:rsidP="001321A0">
            <w:pPr>
              <w:pStyle w:val="p1"/>
              <w:jc w:val="both"/>
              <w:rPr>
                <w:color w:val="000000" w:themeColor="text1"/>
                <w:sz w:val="20"/>
                <w:szCs w:val="20"/>
              </w:rPr>
            </w:pPr>
          </w:p>
        </w:tc>
        <w:tc>
          <w:tcPr>
            <w:tcW w:w="3159" w:type="dxa"/>
          </w:tcPr>
          <w:p w14:paraId="6198F012" w14:textId="3FB83AE9" w:rsidR="00E07F8D" w:rsidRDefault="00E55571" w:rsidP="009322B4">
            <w:pPr>
              <w:pStyle w:val="p1"/>
              <w:pBdr>
                <w:top w:val="nil"/>
                <w:left w:val="nil"/>
                <w:bottom w:val="nil"/>
                <w:right w:val="nil"/>
                <w:between w:val="nil"/>
                <w:bar w:val="nil"/>
              </w:pBdr>
              <w:jc w:val="both"/>
              <w:rPr>
                <w:color w:val="000000" w:themeColor="text1"/>
                <w:sz w:val="20"/>
                <w:szCs w:val="20"/>
              </w:rPr>
            </w:pPr>
            <w:r w:rsidRPr="00D62A5C">
              <w:rPr>
                <w:color w:val="000000" w:themeColor="text1"/>
                <w:sz w:val="20"/>
                <w:szCs w:val="20"/>
              </w:rPr>
              <w:t>Les audits d’applicatifs métier ont représenté 100% des commandes</w:t>
            </w:r>
            <w:r w:rsidR="00BE53E1" w:rsidRPr="00D62A5C">
              <w:rPr>
                <w:color w:val="000000" w:themeColor="text1"/>
                <w:sz w:val="20"/>
                <w:szCs w:val="20"/>
              </w:rPr>
              <w:t>, soit quatre audits</w:t>
            </w:r>
            <w:r w:rsidR="00BD315B" w:rsidRPr="00D62A5C">
              <w:rPr>
                <w:color w:val="000000" w:themeColor="text1"/>
                <w:sz w:val="20"/>
                <w:szCs w:val="20"/>
              </w:rPr>
              <w:t>.</w:t>
            </w:r>
            <w:r w:rsidRPr="00D62A5C">
              <w:rPr>
                <w:color w:val="000000" w:themeColor="text1"/>
                <w:sz w:val="20"/>
                <w:szCs w:val="20"/>
              </w:rPr>
              <w:t xml:space="preserve"> </w:t>
            </w:r>
            <w:r w:rsidR="00BD315B" w:rsidRPr="00D62A5C">
              <w:rPr>
                <w:color w:val="000000" w:themeColor="text1"/>
                <w:sz w:val="20"/>
                <w:szCs w:val="20"/>
              </w:rPr>
              <w:t xml:space="preserve">Etant précisé que deux prestations d’audit ont nécessité une charge comprise entre 31 et </w:t>
            </w:r>
            <w:r w:rsidR="00BD315B" w:rsidRPr="00D62A5C">
              <w:rPr>
                <w:color w:val="000000" w:themeColor="text1"/>
                <w:sz w:val="20"/>
                <w:szCs w:val="20"/>
              </w:rPr>
              <w:lastRenderedPageBreak/>
              <w:t xml:space="preserve">90 jours ouvrés et deux prestations d’audit ont nécessité une charge supérieure à 160 jours ouvrés.  </w:t>
            </w:r>
          </w:p>
          <w:p w14:paraId="26CF9454" w14:textId="77777777" w:rsidR="005021CB" w:rsidRDefault="005021CB" w:rsidP="009322B4">
            <w:pPr>
              <w:pStyle w:val="p1"/>
              <w:pBdr>
                <w:top w:val="nil"/>
                <w:left w:val="nil"/>
                <w:bottom w:val="nil"/>
                <w:right w:val="nil"/>
                <w:between w:val="nil"/>
                <w:bar w:val="nil"/>
              </w:pBdr>
              <w:jc w:val="both"/>
              <w:rPr>
                <w:color w:val="000000" w:themeColor="text1"/>
                <w:sz w:val="20"/>
                <w:szCs w:val="20"/>
              </w:rPr>
            </w:pPr>
          </w:p>
          <w:p w14:paraId="5C8B3782" w14:textId="4FED73E1" w:rsidR="005021CB" w:rsidRPr="00D62A5C" w:rsidRDefault="005021CB" w:rsidP="009322B4">
            <w:pPr>
              <w:pStyle w:val="p1"/>
              <w:pBdr>
                <w:top w:val="nil"/>
                <w:left w:val="nil"/>
                <w:bottom w:val="nil"/>
                <w:right w:val="nil"/>
                <w:between w:val="nil"/>
                <w:bar w:val="nil"/>
              </w:pBdr>
              <w:jc w:val="both"/>
              <w:rPr>
                <w:color w:val="000000" w:themeColor="text1"/>
                <w:sz w:val="20"/>
                <w:szCs w:val="20"/>
              </w:rPr>
            </w:pPr>
            <w:r w:rsidRPr="00E0579C">
              <w:rPr>
                <w:color w:val="000000" w:themeColor="text1"/>
                <w:sz w:val="20"/>
                <w:szCs w:val="20"/>
              </w:rPr>
              <w:t>La consommation communiquée ci-dessus est sensiblement différente de l’estimation prévue à l’article 3.2 du CCTP pour le présent accord cadre.</w:t>
            </w:r>
            <w:r>
              <w:rPr>
                <w:color w:val="000000" w:themeColor="text1"/>
                <w:sz w:val="20"/>
                <w:szCs w:val="20"/>
              </w:rPr>
              <w:t xml:space="preserve"> </w:t>
            </w:r>
          </w:p>
          <w:p w14:paraId="19BA49F5" w14:textId="1A9F4F1B" w:rsidR="00BD315B" w:rsidRPr="00D62A5C" w:rsidRDefault="00BD315B" w:rsidP="009322B4">
            <w:pPr>
              <w:pStyle w:val="p1"/>
              <w:pBdr>
                <w:top w:val="nil"/>
                <w:left w:val="nil"/>
                <w:bottom w:val="nil"/>
                <w:right w:val="nil"/>
                <w:between w:val="nil"/>
                <w:bar w:val="nil"/>
              </w:pBdr>
              <w:jc w:val="both"/>
              <w:rPr>
                <w:color w:val="000000" w:themeColor="text1"/>
                <w:sz w:val="20"/>
                <w:szCs w:val="20"/>
              </w:rPr>
            </w:pPr>
          </w:p>
        </w:tc>
      </w:tr>
      <w:tr w:rsidR="00E07F8D" w14:paraId="61449898" w14:textId="77777777" w:rsidTr="00E07F8D">
        <w:tc>
          <w:tcPr>
            <w:tcW w:w="1084" w:type="dxa"/>
          </w:tcPr>
          <w:p w14:paraId="7A1612E4" w14:textId="414A168C" w:rsidR="00E07F8D" w:rsidRPr="00E07F8D" w:rsidRDefault="00E07F8D" w:rsidP="00E07F8D">
            <w:pPr>
              <w:pStyle w:val="p1"/>
              <w:jc w:val="both"/>
              <w:rPr>
                <w:sz w:val="20"/>
                <w:szCs w:val="20"/>
              </w:rPr>
            </w:pPr>
            <w:r>
              <w:rPr>
                <w:sz w:val="20"/>
                <w:szCs w:val="20"/>
              </w:rPr>
              <w:lastRenderedPageBreak/>
              <w:t>7</w:t>
            </w:r>
          </w:p>
        </w:tc>
        <w:tc>
          <w:tcPr>
            <w:tcW w:w="4933" w:type="dxa"/>
          </w:tcPr>
          <w:p w14:paraId="20A5AD81" w14:textId="0737932E" w:rsidR="00E07F8D" w:rsidRPr="00D62A5C" w:rsidRDefault="00E07F8D" w:rsidP="00E07F8D">
            <w:pPr>
              <w:pStyle w:val="p1"/>
              <w:jc w:val="both"/>
              <w:rPr>
                <w:sz w:val="20"/>
                <w:szCs w:val="20"/>
              </w:rPr>
            </w:pPr>
            <w:r w:rsidRPr="00D62A5C">
              <w:rPr>
                <w:sz w:val="20"/>
                <w:szCs w:val="20"/>
              </w:rPr>
              <w:t>Pouvez-vous nous confirmer si les tarifs attendus dans les BPU correspondent bien à une proposition de Taux Journalier Moyen (Prix € HT et Prix € TTC) par UO ?</w:t>
            </w:r>
          </w:p>
          <w:p w14:paraId="0E9ED5B7" w14:textId="77777777" w:rsidR="00E07F8D" w:rsidRPr="00D62A5C" w:rsidRDefault="00E07F8D" w:rsidP="00E07F8D">
            <w:pPr>
              <w:pStyle w:val="p1"/>
              <w:jc w:val="both"/>
              <w:rPr>
                <w:sz w:val="20"/>
                <w:szCs w:val="20"/>
              </w:rPr>
            </w:pPr>
          </w:p>
          <w:p w14:paraId="15D7FE4E" w14:textId="77777777" w:rsidR="00E07F8D" w:rsidRPr="00D62A5C" w:rsidRDefault="00E07F8D" w:rsidP="00E07F8D">
            <w:pPr>
              <w:pStyle w:val="p1"/>
              <w:jc w:val="both"/>
              <w:rPr>
                <w:sz w:val="20"/>
                <w:szCs w:val="20"/>
              </w:rPr>
            </w:pPr>
          </w:p>
          <w:p w14:paraId="26F16D29" w14:textId="77777777" w:rsidR="00E07F8D" w:rsidRPr="00D62A5C" w:rsidRDefault="00E07F8D" w:rsidP="00E07F8D">
            <w:pPr>
              <w:pStyle w:val="p1"/>
              <w:jc w:val="both"/>
              <w:rPr>
                <w:sz w:val="20"/>
                <w:szCs w:val="20"/>
              </w:rPr>
            </w:pPr>
          </w:p>
        </w:tc>
        <w:tc>
          <w:tcPr>
            <w:tcW w:w="3159" w:type="dxa"/>
          </w:tcPr>
          <w:p w14:paraId="16F572DF" w14:textId="080D26C0" w:rsidR="00E07F8D" w:rsidRPr="00D62A5C" w:rsidRDefault="004D5B1E" w:rsidP="009322B4">
            <w:pPr>
              <w:pStyle w:val="p1"/>
              <w:pBdr>
                <w:top w:val="nil"/>
                <w:left w:val="nil"/>
                <w:bottom w:val="nil"/>
                <w:right w:val="nil"/>
                <w:between w:val="nil"/>
                <w:bar w:val="nil"/>
              </w:pBdr>
              <w:jc w:val="both"/>
              <w:rPr>
                <w:color w:val="000000" w:themeColor="text1"/>
                <w:sz w:val="20"/>
                <w:szCs w:val="20"/>
              </w:rPr>
            </w:pPr>
            <w:r w:rsidRPr="00D62A5C">
              <w:rPr>
                <w:color w:val="000000" w:themeColor="text1"/>
                <w:sz w:val="20"/>
                <w:szCs w:val="20"/>
              </w:rPr>
              <w:t xml:space="preserve">Pour chaque UO, le tarif </w:t>
            </w:r>
            <w:r w:rsidR="001B02E1" w:rsidRPr="00D62A5C">
              <w:rPr>
                <w:color w:val="000000" w:themeColor="text1"/>
                <w:sz w:val="20"/>
                <w:szCs w:val="20"/>
              </w:rPr>
              <w:t xml:space="preserve">attendu </w:t>
            </w:r>
            <w:r w:rsidRPr="00D62A5C">
              <w:rPr>
                <w:color w:val="000000" w:themeColor="text1"/>
                <w:sz w:val="20"/>
                <w:szCs w:val="20"/>
              </w:rPr>
              <w:t xml:space="preserve">est un tarif </w:t>
            </w:r>
            <w:r w:rsidR="001B02E1" w:rsidRPr="00D62A5C">
              <w:rPr>
                <w:color w:val="000000" w:themeColor="text1"/>
                <w:sz w:val="20"/>
                <w:szCs w:val="20"/>
              </w:rPr>
              <w:t xml:space="preserve">forfaitaire </w:t>
            </w:r>
            <w:r w:rsidRPr="00D62A5C">
              <w:rPr>
                <w:color w:val="000000" w:themeColor="text1"/>
                <w:sz w:val="20"/>
                <w:szCs w:val="20"/>
              </w:rPr>
              <w:t>unique</w:t>
            </w:r>
            <w:r w:rsidR="001B02E1" w:rsidRPr="00D62A5C">
              <w:rPr>
                <w:color w:val="000000" w:themeColor="text1"/>
                <w:sz w:val="20"/>
                <w:szCs w:val="20"/>
              </w:rPr>
              <w:t xml:space="preserve"> (global) et </w:t>
            </w:r>
            <w:r w:rsidR="00C6452D" w:rsidRPr="00D62A5C">
              <w:rPr>
                <w:color w:val="000000" w:themeColor="text1"/>
                <w:sz w:val="20"/>
                <w:szCs w:val="20"/>
              </w:rPr>
              <w:t xml:space="preserve">non </w:t>
            </w:r>
            <w:r w:rsidR="001B02E1" w:rsidRPr="00D62A5C">
              <w:rPr>
                <w:color w:val="000000" w:themeColor="text1"/>
                <w:sz w:val="20"/>
                <w:szCs w:val="20"/>
              </w:rPr>
              <w:t>un tarif journalier moyen</w:t>
            </w:r>
            <w:r w:rsidRPr="00D62A5C">
              <w:rPr>
                <w:color w:val="000000" w:themeColor="text1"/>
                <w:sz w:val="20"/>
                <w:szCs w:val="20"/>
              </w:rPr>
              <w:t>.</w:t>
            </w:r>
          </w:p>
        </w:tc>
      </w:tr>
      <w:tr w:rsidR="00E07F8D" w14:paraId="7FFACF44" w14:textId="77777777" w:rsidTr="00E07F8D">
        <w:tc>
          <w:tcPr>
            <w:tcW w:w="1084" w:type="dxa"/>
          </w:tcPr>
          <w:p w14:paraId="0DA722E2" w14:textId="524FC67C" w:rsidR="00E07F8D" w:rsidRPr="00E07F8D" w:rsidRDefault="00E07F8D" w:rsidP="00E07F8D">
            <w:pPr>
              <w:suppressAutoHyphens/>
              <w:spacing w:after="120" w:line="276" w:lineRule="auto"/>
              <w:rPr>
                <w:rFonts w:ascii="Helvetica" w:eastAsia="Times New Roman" w:hAnsi="Helvetica" w:cs="Times New Roman"/>
                <w:color w:val="000000"/>
                <w:kern w:val="0"/>
                <w:sz w:val="20"/>
                <w:szCs w:val="20"/>
                <w:lang w:eastAsia="fr-FR"/>
                <w14:ligatures w14:val="none"/>
              </w:rPr>
            </w:pPr>
            <w:r>
              <w:rPr>
                <w:rFonts w:ascii="Helvetica" w:eastAsia="Times New Roman" w:hAnsi="Helvetica" w:cs="Times New Roman"/>
                <w:color w:val="000000"/>
                <w:kern w:val="0"/>
                <w:sz w:val="20"/>
                <w:szCs w:val="20"/>
                <w:lang w:eastAsia="fr-FR"/>
                <w14:ligatures w14:val="none"/>
              </w:rPr>
              <w:t>8</w:t>
            </w:r>
          </w:p>
        </w:tc>
        <w:tc>
          <w:tcPr>
            <w:tcW w:w="4933" w:type="dxa"/>
          </w:tcPr>
          <w:p w14:paraId="799E627E" w14:textId="3BDFA419" w:rsidR="00E07F8D" w:rsidRPr="00D62A5C" w:rsidRDefault="00E07F8D" w:rsidP="00E07F8D">
            <w:pPr>
              <w:suppressAutoHyphens/>
              <w:spacing w:after="120" w:line="276" w:lineRule="auto"/>
            </w:pPr>
            <w:r w:rsidRPr="00D62A5C">
              <w:rPr>
                <w:rFonts w:ascii="Helvetica" w:eastAsia="Times New Roman" w:hAnsi="Helvetica" w:cs="Times New Roman"/>
                <w:color w:val="000000"/>
                <w:kern w:val="0"/>
                <w:sz w:val="20"/>
                <w:szCs w:val="20"/>
                <w:lang w:eastAsia="fr-FR"/>
                <w14:ligatures w14:val="none"/>
              </w:rPr>
              <w:t>Dans le cas d’un tarif forfaitaire par UO, et compte-tenu de la fourchette de jours estimés par</w:t>
            </w:r>
            <w:r w:rsidRPr="00D62A5C">
              <w:t xml:space="preserve"> </w:t>
            </w:r>
            <w:r w:rsidRPr="00D62A5C">
              <w:rPr>
                <w:rFonts w:ascii="Helvetica" w:eastAsia="Times New Roman" w:hAnsi="Helvetica" w:cs="Times New Roman"/>
                <w:color w:val="000000"/>
                <w:kern w:val="0"/>
                <w:sz w:val="20"/>
                <w:szCs w:val="20"/>
                <w:lang w:eastAsia="fr-FR"/>
                <w14:ligatures w14:val="none"/>
              </w:rPr>
              <w:t>UO aujourd’hui assez large, sera-t-il possible d’affiner le tarif forfaitaire selon la charge estimée liée à chaque mission d’audit ? Par exemple, pour l’UO1.1 du lot 1 correspondant à un audit de projet informatique d’une charge estimée entre 31 et 90 jours, sera-t-il possible d’affiner le tarif au plus proche de la charge et dans la fourchette des 31 et 90 jours pour un tarif optimal ?</w:t>
            </w:r>
          </w:p>
          <w:p w14:paraId="4DE1DC32" w14:textId="77777777" w:rsidR="00E07F8D" w:rsidRPr="00D62A5C" w:rsidRDefault="00E07F8D" w:rsidP="00E07F8D">
            <w:pPr>
              <w:pStyle w:val="p1"/>
              <w:jc w:val="both"/>
              <w:rPr>
                <w:sz w:val="20"/>
                <w:szCs w:val="20"/>
              </w:rPr>
            </w:pPr>
          </w:p>
        </w:tc>
        <w:tc>
          <w:tcPr>
            <w:tcW w:w="3159" w:type="dxa"/>
          </w:tcPr>
          <w:p w14:paraId="522F7677" w14:textId="6B02090A" w:rsidR="00BC64EA" w:rsidRPr="00D62A5C" w:rsidRDefault="00BC64EA" w:rsidP="00E32BCC">
            <w:pPr>
              <w:pStyle w:val="p1"/>
              <w:pBdr>
                <w:top w:val="nil"/>
                <w:left w:val="nil"/>
                <w:bottom w:val="nil"/>
                <w:right w:val="nil"/>
                <w:between w:val="nil"/>
                <w:bar w:val="nil"/>
              </w:pBdr>
              <w:jc w:val="both"/>
              <w:rPr>
                <w:color w:val="000000" w:themeColor="text1"/>
                <w:sz w:val="20"/>
                <w:szCs w:val="20"/>
              </w:rPr>
            </w:pPr>
            <w:r w:rsidRPr="00D62A5C">
              <w:rPr>
                <w:color w:val="000000" w:themeColor="text1"/>
                <w:sz w:val="20"/>
                <w:szCs w:val="20"/>
              </w:rPr>
              <w:t xml:space="preserve">Les UO ont été modifiées dans la version remise en ligne le </w:t>
            </w:r>
            <w:r w:rsidR="009A7B5C" w:rsidRPr="00D62A5C">
              <w:rPr>
                <w:color w:val="000000" w:themeColor="text1"/>
                <w:sz w:val="20"/>
                <w:szCs w:val="20"/>
              </w:rPr>
              <w:t>9/09/2026</w:t>
            </w:r>
            <w:r w:rsidRPr="00D62A5C">
              <w:rPr>
                <w:color w:val="000000" w:themeColor="text1"/>
                <w:sz w:val="20"/>
                <w:szCs w:val="20"/>
              </w:rPr>
              <w:t xml:space="preserve">. </w:t>
            </w:r>
            <w:r w:rsidRPr="00D62A5C">
              <w:rPr>
                <w:color w:val="000000" w:themeColor="text1"/>
                <w:sz w:val="20"/>
                <w:szCs w:val="20"/>
              </w:rPr>
              <w:cr/>
            </w:r>
            <w:r w:rsidRPr="00D62A5C">
              <w:rPr>
                <w:color w:val="000000" w:themeColor="text1"/>
                <w:sz w:val="20"/>
                <w:szCs w:val="20"/>
              </w:rPr>
              <w:cr/>
              <w:t>Les UO ont été affinées. Il convient par conséquent de prendre en compte la dernière version communiquée des pièces financières pour les lots 1 et 2.</w:t>
            </w:r>
          </w:p>
          <w:p w14:paraId="21CC97F8" w14:textId="77777777" w:rsidR="00BC64EA" w:rsidRPr="00D62A5C" w:rsidRDefault="00BC64EA" w:rsidP="00E32BCC">
            <w:pPr>
              <w:pStyle w:val="p1"/>
              <w:pBdr>
                <w:top w:val="nil"/>
                <w:left w:val="nil"/>
                <w:bottom w:val="nil"/>
                <w:right w:val="nil"/>
                <w:between w:val="nil"/>
                <w:bar w:val="nil"/>
              </w:pBdr>
              <w:jc w:val="both"/>
              <w:rPr>
                <w:color w:val="000000" w:themeColor="text1"/>
                <w:sz w:val="20"/>
                <w:szCs w:val="20"/>
              </w:rPr>
            </w:pPr>
          </w:p>
          <w:p w14:paraId="1E6FC60A" w14:textId="01E0A2A7" w:rsidR="00E32BCC" w:rsidRPr="00D62A5C" w:rsidRDefault="00E32BCC" w:rsidP="00E32BCC">
            <w:pPr>
              <w:pStyle w:val="p1"/>
              <w:pBdr>
                <w:top w:val="nil"/>
                <w:left w:val="nil"/>
                <w:bottom w:val="nil"/>
                <w:right w:val="nil"/>
                <w:between w:val="nil"/>
                <w:bar w:val="nil"/>
              </w:pBdr>
              <w:jc w:val="both"/>
              <w:rPr>
                <w:color w:val="000000" w:themeColor="text1"/>
                <w:sz w:val="20"/>
                <w:szCs w:val="20"/>
              </w:rPr>
            </w:pPr>
            <w:r w:rsidRPr="00D62A5C">
              <w:rPr>
                <w:color w:val="000000" w:themeColor="text1"/>
                <w:sz w:val="20"/>
                <w:szCs w:val="20"/>
              </w:rPr>
              <w:t>C</w:t>
            </w:r>
            <w:r w:rsidR="001B02E1" w:rsidRPr="00D62A5C">
              <w:rPr>
                <w:color w:val="000000" w:themeColor="text1"/>
                <w:sz w:val="20"/>
                <w:szCs w:val="20"/>
              </w:rPr>
              <w:t>haque unité d’œuvre</w:t>
            </w:r>
            <w:r w:rsidRPr="00D62A5C">
              <w:rPr>
                <w:color w:val="000000" w:themeColor="text1"/>
                <w:sz w:val="20"/>
                <w:szCs w:val="20"/>
              </w:rPr>
              <w:t xml:space="preserve"> est valorisée sous la forme d’un </w:t>
            </w:r>
            <w:r w:rsidR="001B02E1" w:rsidRPr="00D62A5C">
              <w:rPr>
                <w:color w:val="000000" w:themeColor="text1"/>
                <w:sz w:val="20"/>
                <w:szCs w:val="20"/>
              </w:rPr>
              <w:t xml:space="preserve">tarif forfaitaire unique, </w:t>
            </w:r>
            <w:r w:rsidRPr="00D62A5C">
              <w:rPr>
                <w:color w:val="000000" w:themeColor="text1"/>
                <w:sz w:val="20"/>
                <w:szCs w:val="20"/>
              </w:rPr>
              <w:t>peu importe</w:t>
            </w:r>
            <w:r w:rsidR="001B02E1" w:rsidRPr="00D62A5C">
              <w:rPr>
                <w:color w:val="000000" w:themeColor="text1"/>
                <w:sz w:val="20"/>
                <w:szCs w:val="20"/>
              </w:rPr>
              <w:t xml:space="preserve"> la charge de travail effective occasionnée par la mission d’audit.</w:t>
            </w:r>
            <w:r w:rsidRPr="00D62A5C">
              <w:rPr>
                <w:color w:val="000000" w:themeColor="text1"/>
                <w:sz w:val="20"/>
                <w:szCs w:val="20"/>
              </w:rPr>
              <w:t xml:space="preserve"> </w:t>
            </w:r>
          </w:p>
          <w:p w14:paraId="20BDB597" w14:textId="77777777" w:rsidR="001B02E1" w:rsidRPr="00D62A5C" w:rsidRDefault="00E32BCC" w:rsidP="00E32BCC">
            <w:pPr>
              <w:pStyle w:val="p1"/>
              <w:pBdr>
                <w:top w:val="nil"/>
                <w:left w:val="nil"/>
                <w:bottom w:val="nil"/>
                <w:right w:val="nil"/>
                <w:between w:val="nil"/>
                <w:bar w:val="nil"/>
              </w:pBdr>
              <w:jc w:val="both"/>
              <w:rPr>
                <w:color w:val="000000" w:themeColor="text1"/>
                <w:sz w:val="20"/>
                <w:szCs w:val="20"/>
              </w:rPr>
            </w:pPr>
            <w:r w:rsidRPr="00D62A5C">
              <w:rPr>
                <w:color w:val="000000" w:themeColor="text1"/>
                <w:sz w:val="20"/>
                <w:szCs w:val="20"/>
              </w:rPr>
              <w:t>L’</w:t>
            </w:r>
            <w:r w:rsidR="00C6452D" w:rsidRPr="00D62A5C">
              <w:rPr>
                <w:color w:val="000000" w:themeColor="text1"/>
                <w:sz w:val="20"/>
                <w:szCs w:val="20"/>
              </w:rPr>
              <w:t>article 5 du CCTP précise les conditions d’application de l’</w:t>
            </w:r>
            <w:r w:rsidRPr="00D62A5C">
              <w:rPr>
                <w:color w:val="000000" w:themeColor="text1"/>
                <w:sz w:val="20"/>
                <w:szCs w:val="20"/>
              </w:rPr>
              <w:t>UO « Coût par jour ouvré supplémentaire ».</w:t>
            </w:r>
          </w:p>
          <w:p w14:paraId="719EB2BD" w14:textId="77777777" w:rsidR="00BC64EA" w:rsidRPr="00D62A5C" w:rsidRDefault="00BC64EA" w:rsidP="00E32BCC">
            <w:pPr>
              <w:pStyle w:val="p1"/>
              <w:pBdr>
                <w:top w:val="nil"/>
                <w:left w:val="nil"/>
                <w:bottom w:val="nil"/>
                <w:right w:val="nil"/>
                <w:between w:val="nil"/>
                <w:bar w:val="nil"/>
              </w:pBdr>
              <w:jc w:val="both"/>
              <w:rPr>
                <w:color w:val="000000" w:themeColor="text1"/>
                <w:sz w:val="20"/>
                <w:szCs w:val="20"/>
              </w:rPr>
            </w:pPr>
          </w:p>
          <w:p w14:paraId="44B4863F" w14:textId="16E3447E" w:rsidR="00BC64EA" w:rsidRPr="00D62A5C" w:rsidRDefault="00D62A5C" w:rsidP="00E32BCC">
            <w:pPr>
              <w:pStyle w:val="p1"/>
              <w:pBdr>
                <w:top w:val="nil"/>
                <w:left w:val="nil"/>
                <w:bottom w:val="nil"/>
                <w:right w:val="nil"/>
                <w:between w:val="nil"/>
                <w:bar w:val="nil"/>
              </w:pBdr>
              <w:jc w:val="both"/>
              <w:rPr>
                <w:color w:val="000000" w:themeColor="text1"/>
                <w:sz w:val="20"/>
                <w:szCs w:val="20"/>
              </w:rPr>
            </w:pPr>
            <w:r w:rsidRPr="00D62A5C">
              <w:rPr>
                <w:color w:val="000000" w:themeColor="text1"/>
                <w:sz w:val="20"/>
                <w:szCs w:val="20"/>
              </w:rPr>
              <w:t>A titre de rappel l’UO comprise entre 30 et 90 jours a été modifiée par l’UO comprise entre 30 et 60 jours.</w:t>
            </w:r>
          </w:p>
          <w:p w14:paraId="6CC94221" w14:textId="313F2C59" w:rsidR="00BC64EA" w:rsidRPr="00D62A5C" w:rsidRDefault="00BC64EA" w:rsidP="00E32BCC">
            <w:pPr>
              <w:pStyle w:val="p1"/>
              <w:pBdr>
                <w:top w:val="nil"/>
                <w:left w:val="nil"/>
                <w:bottom w:val="nil"/>
                <w:right w:val="nil"/>
                <w:between w:val="nil"/>
                <w:bar w:val="nil"/>
              </w:pBdr>
              <w:jc w:val="both"/>
              <w:rPr>
                <w:color w:val="000000" w:themeColor="text1"/>
                <w:sz w:val="20"/>
                <w:szCs w:val="20"/>
              </w:rPr>
            </w:pPr>
          </w:p>
        </w:tc>
      </w:tr>
      <w:tr w:rsidR="00E07F8D" w14:paraId="0C699DC5" w14:textId="77777777" w:rsidTr="00E07F8D">
        <w:tc>
          <w:tcPr>
            <w:tcW w:w="1084" w:type="dxa"/>
          </w:tcPr>
          <w:p w14:paraId="6179A0D2" w14:textId="597E63C7" w:rsidR="00E07F8D" w:rsidRPr="00E07F8D" w:rsidRDefault="00E07F8D" w:rsidP="00E07F8D">
            <w:pPr>
              <w:suppressAutoHyphens/>
              <w:spacing w:after="120" w:line="276" w:lineRule="auto"/>
              <w:rPr>
                <w:rFonts w:ascii="Helvetica" w:eastAsia="Times New Roman" w:hAnsi="Helvetica" w:cs="Times New Roman"/>
                <w:color w:val="000000"/>
                <w:kern w:val="0"/>
                <w:sz w:val="20"/>
                <w:szCs w:val="20"/>
                <w:lang w:eastAsia="fr-FR"/>
                <w14:ligatures w14:val="none"/>
              </w:rPr>
            </w:pPr>
            <w:r>
              <w:rPr>
                <w:rFonts w:ascii="Helvetica" w:eastAsia="Times New Roman" w:hAnsi="Helvetica" w:cs="Times New Roman"/>
                <w:color w:val="000000"/>
                <w:kern w:val="0"/>
                <w:sz w:val="20"/>
                <w:szCs w:val="20"/>
                <w:lang w:eastAsia="fr-FR"/>
                <w14:ligatures w14:val="none"/>
              </w:rPr>
              <w:t>9</w:t>
            </w:r>
          </w:p>
        </w:tc>
        <w:tc>
          <w:tcPr>
            <w:tcW w:w="4933" w:type="dxa"/>
          </w:tcPr>
          <w:p w14:paraId="1E668586" w14:textId="5FF1FCBC" w:rsidR="00E07F8D" w:rsidRPr="00D62A5C" w:rsidRDefault="00E07F8D" w:rsidP="00E07F8D">
            <w:pPr>
              <w:suppressAutoHyphens/>
              <w:spacing w:after="120" w:line="276" w:lineRule="auto"/>
              <w:rPr>
                <w:rFonts w:ascii="Helvetica" w:eastAsia="Times New Roman" w:hAnsi="Helvetica" w:cs="Times New Roman"/>
                <w:color w:val="000000"/>
                <w:kern w:val="0"/>
                <w:sz w:val="20"/>
                <w:szCs w:val="20"/>
                <w:lang w:eastAsia="fr-FR"/>
                <w14:ligatures w14:val="none"/>
              </w:rPr>
            </w:pPr>
            <w:r w:rsidRPr="00D62A5C">
              <w:rPr>
                <w:rFonts w:ascii="Helvetica" w:eastAsia="Times New Roman" w:hAnsi="Helvetica" w:cs="Times New Roman"/>
                <w:color w:val="000000"/>
                <w:kern w:val="0"/>
                <w:sz w:val="20"/>
                <w:szCs w:val="20"/>
                <w:lang w:eastAsia="fr-FR"/>
                <w14:ligatures w14:val="none"/>
              </w:rPr>
              <w:t>L’article 7 des CCAP précise les conditions d’exécution des bons de commande, comment se déroule les discussions quant aux estimations de charges réelles par Unite d’œuvre ?</w:t>
            </w:r>
          </w:p>
          <w:p w14:paraId="7E115C38" w14:textId="77777777" w:rsidR="00E07F8D" w:rsidRPr="00D62A5C" w:rsidRDefault="00E07F8D" w:rsidP="00E07F8D">
            <w:pPr>
              <w:suppressAutoHyphens/>
              <w:spacing w:after="120" w:line="276" w:lineRule="auto"/>
              <w:rPr>
                <w:rFonts w:ascii="Helvetica" w:eastAsia="Times New Roman" w:hAnsi="Helvetica" w:cs="Times New Roman"/>
                <w:color w:val="000000"/>
                <w:kern w:val="0"/>
                <w:sz w:val="20"/>
                <w:szCs w:val="20"/>
                <w:lang w:eastAsia="fr-FR"/>
                <w14:ligatures w14:val="none"/>
              </w:rPr>
            </w:pPr>
          </w:p>
        </w:tc>
        <w:tc>
          <w:tcPr>
            <w:tcW w:w="3159" w:type="dxa"/>
          </w:tcPr>
          <w:p w14:paraId="7B0BBD49" w14:textId="1216765D" w:rsidR="00E07F8D" w:rsidRPr="00D62A5C" w:rsidRDefault="00BC64EA" w:rsidP="009322B4">
            <w:pPr>
              <w:pStyle w:val="p1"/>
              <w:pBdr>
                <w:top w:val="nil"/>
                <w:left w:val="nil"/>
                <w:bottom w:val="nil"/>
                <w:right w:val="nil"/>
                <w:between w:val="nil"/>
                <w:bar w:val="nil"/>
              </w:pBdr>
              <w:jc w:val="both"/>
              <w:rPr>
                <w:color w:val="000000" w:themeColor="text1"/>
                <w:sz w:val="20"/>
                <w:szCs w:val="20"/>
              </w:rPr>
            </w:pPr>
            <w:r w:rsidRPr="00D62A5C">
              <w:rPr>
                <w:color w:val="000000" w:themeColor="text1"/>
                <w:sz w:val="20"/>
                <w:szCs w:val="20"/>
              </w:rPr>
              <w:t>Conformément à l’article</w:t>
            </w:r>
            <w:r w:rsidR="00D62A5C" w:rsidRPr="00D62A5C">
              <w:rPr>
                <w:color w:val="000000" w:themeColor="text1"/>
                <w:sz w:val="20"/>
                <w:szCs w:val="20"/>
              </w:rPr>
              <w:t xml:space="preserve"> 3.2, e</w:t>
            </w:r>
            <w:r w:rsidR="004D5B1E" w:rsidRPr="00D62A5C">
              <w:rPr>
                <w:color w:val="000000" w:themeColor="text1"/>
                <w:sz w:val="20"/>
                <w:szCs w:val="20"/>
              </w:rPr>
              <w:t xml:space="preserve">n amont de l’émission d’un bon de commande, le besoin sera défini dans un cahier des charges sur la base duquel le prestataire remettra sa proposition technique </w:t>
            </w:r>
            <w:r w:rsidR="001B02E1" w:rsidRPr="00D62A5C">
              <w:rPr>
                <w:color w:val="000000" w:themeColor="text1"/>
                <w:sz w:val="20"/>
                <w:szCs w:val="20"/>
              </w:rPr>
              <w:t xml:space="preserve">(calendrier, méthodologie, etc.) </w:t>
            </w:r>
            <w:r w:rsidR="004D5B1E" w:rsidRPr="00D62A5C">
              <w:rPr>
                <w:color w:val="000000" w:themeColor="text1"/>
                <w:sz w:val="20"/>
                <w:szCs w:val="20"/>
              </w:rPr>
              <w:t>et financière</w:t>
            </w:r>
            <w:r w:rsidR="001B02E1" w:rsidRPr="00D62A5C">
              <w:rPr>
                <w:color w:val="000000" w:themeColor="text1"/>
                <w:sz w:val="20"/>
                <w:szCs w:val="20"/>
              </w:rPr>
              <w:t xml:space="preserve"> (nombre de j/H estimés)</w:t>
            </w:r>
            <w:r w:rsidR="004D5B1E" w:rsidRPr="00D62A5C">
              <w:rPr>
                <w:color w:val="000000" w:themeColor="text1"/>
                <w:sz w:val="20"/>
                <w:szCs w:val="20"/>
              </w:rPr>
              <w:t xml:space="preserve">. Celle-ci </w:t>
            </w:r>
            <w:r w:rsidR="001B02E1" w:rsidRPr="00D62A5C">
              <w:rPr>
                <w:color w:val="000000" w:themeColor="text1"/>
                <w:sz w:val="20"/>
                <w:szCs w:val="20"/>
              </w:rPr>
              <w:t>sera discutée avec la DAV</w:t>
            </w:r>
            <w:r w:rsidR="00742EFE" w:rsidRPr="00D62A5C">
              <w:rPr>
                <w:color w:val="000000" w:themeColor="text1"/>
                <w:sz w:val="20"/>
                <w:szCs w:val="20"/>
              </w:rPr>
              <w:t>,</w:t>
            </w:r>
            <w:r w:rsidR="001B02E1" w:rsidRPr="00D62A5C">
              <w:rPr>
                <w:color w:val="000000" w:themeColor="text1"/>
                <w:sz w:val="20"/>
                <w:szCs w:val="20"/>
              </w:rPr>
              <w:t xml:space="preserve"> et si besoin</w:t>
            </w:r>
            <w:r w:rsidR="00742EFE" w:rsidRPr="00D62A5C">
              <w:rPr>
                <w:color w:val="000000" w:themeColor="text1"/>
                <w:sz w:val="20"/>
                <w:szCs w:val="20"/>
              </w:rPr>
              <w:t>,</w:t>
            </w:r>
            <w:r w:rsidR="001B02E1" w:rsidRPr="00D62A5C">
              <w:rPr>
                <w:color w:val="000000" w:themeColor="text1"/>
                <w:sz w:val="20"/>
                <w:szCs w:val="20"/>
              </w:rPr>
              <w:t xml:space="preserve"> fera l’objet d’a</w:t>
            </w:r>
            <w:r w:rsidR="004D5B1E" w:rsidRPr="00D62A5C">
              <w:rPr>
                <w:color w:val="000000" w:themeColor="text1"/>
                <w:sz w:val="20"/>
                <w:szCs w:val="20"/>
              </w:rPr>
              <w:t>justements (</w:t>
            </w:r>
            <w:r w:rsidR="001B02E1" w:rsidRPr="00D62A5C">
              <w:rPr>
                <w:color w:val="000000" w:themeColor="text1"/>
                <w:sz w:val="20"/>
                <w:szCs w:val="20"/>
              </w:rPr>
              <w:t>calibrage du nombre de j/H, composition de l’équipe, etc.). Une fois</w:t>
            </w:r>
            <w:r w:rsidR="00096997" w:rsidRPr="00D62A5C">
              <w:rPr>
                <w:color w:val="000000" w:themeColor="text1"/>
                <w:sz w:val="20"/>
                <w:szCs w:val="20"/>
              </w:rPr>
              <w:t xml:space="preserve"> </w:t>
            </w:r>
            <w:r w:rsidR="001B02E1" w:rsidRPr="00D62A5C">
              <w:rPr>
                <w:color w:val="000000" w:themeColor="text1"/>
                <w:sz w:val="20"/>
                <w:szCs w:val="20"/>
              </w:rPr>
              <w:t xml:space="preserve">la proposition </w:t>
            </w:r>
            <w:r w:rsidR="00742EFE" w:rsidRPr="00D62A5C">
              <w:rPr>
                <w:color w:val="000000" w:themeColor="text1"/>
                <w:sz w:val="20"/>
                <w:szCs w:val="20"/>
              </w:rPr>
              <w:t xml:space="preserve">définitive </w:t>
            </w:r>
            <w:r w:rsidR="001B02E1" w:rsidRPr="00D62A5C">
              <w:rPr>
                <w:color w:val="000000" w:themeColor="text1"/>
                <w:sz w:val="20"/>
                <w:szCs w:val="20"/>
              </w:rPr>
              <w:t xml:space="preserve">entérinée, l’UO idoine sera activée. </w:t>
            </w:r>
          </w:p>
        </w:tc>
      </w:tr>
    </w:tbl>
    <w:p w14:paraId="79B34CDA" w14:textId="73081783" w:rsidR="00535B0E" w:rsidRDefault="00535B0E" w:rsidP="00B92DF4"/>
    <w:p w14:paraId="59369519" w14:textId="77777777" w:rsidR="00B512E8" w:rsidRDefault="00B512E8" w:rsidP="00B92DF4"/>
    <w:p w14:paraId="1507593A" w14:textId="77777777" w:rsidR="00B512E8" w:rsidRPr="00B512E8" w:rsidRDefault="00B512E8" w:rsidP="00B512E8">
      <w:pPr>
        <w:spacing w:line="276" w:lineRule="auto"/>
        <w:jc w:val="center"/>
        <w:rPr>
          <w:rFonts w:ascii="Aptos" w:eastAsia="Aptos" w:hAnsi="Aptos" w:cs="Times New Roman"/>
        </w:rPr>
      </w:pPr>
      <w:r w:rsidRPr="00B512E8">
        <w:rPr>
          <w:rFonts w:ascii="Aptos" w:eastAsia="Aptos" w:hAnsi="Aptos" w:cs="Times New Roman"/>
        </w:rPr>
        <w:t>LOT 2</w:t>
      </w:r>
    </w:p>
    <w:tbl>
      <w:tblPr>
        <w:tblStyle w:val="Grilledutableau1"/>
        <w:tblW w:w="9175" w:type="dxa"/>
        <w:tblInd w:w="0" w:type="dxa"/>
        <w:tblLook w:val="04A0" w:firstRow="1" w:lastRow="0" w:firstColumn="1" w:lastColumn="0" w:noHBand="0" w:noVBand="1"/>
      </w:tblPr>
      <w:tblGrid>
        <w:gridCol w:w="1100"/>
        <w:gridCol w:w="4914"/>
        <w:gridCol w:w="3161"/>
      </w:tblGrid>
      <w:tr w:rsidR="00B512E8" w:rsidRPr="00B512E8" w14:paraId="6593CD40" w14:textId="77777777" w:rsidTr="00B512E8">
        <w:tc>
          <w:tcPr>
            <w:tcW w:w="1100" w:type="dxa"/>
            <w:tcBorders>
              <w:top w:val="single" w:sz="4" w:space="0" w:color="auto"/>
              <w:left w:val="single" w:sz="4" w:space="0" w:color="auto"/>
              <w:bottom w:val="single" w:sz="4" w:space="0" w:color="auto"/>
              <w:right w:val="single" w:sz="4" w:space="0" w:color="auto"/>
            </w:tcBorders>
            <w:hideMark/>
          </w:tcPr>
          <w:p w14:paraId="55F6C024" w14:textId="77777777" w:rsidR="00B512E8" w:rsidRPr="00B512E8" w:rsidRDefault="00B512E8" w:rsidP="00B512E8">
            <w:pPr>
              <w:jc w:val="center"/>
              <w:rPr>
                <w:b/>
                <w:bCs/>
              </w:rPr>
            </w:pPr>
            <w:r w:rsidRPr="00B512E8">
              <w:rPr>
                <w:b/>
                <w:bCs/>
              </w:rPr>
              <w:t>Numéro</w:t>
            </w:r>
          </w:p>
        </w:tc>
        <w:tc>
          <w:tcPr>
            <w:tcW w:w="4914" w:type="dxa"/>
            <w:tcBorders>
              <w:top w:val="single" w:sz="4" w:space="0" w:color="auto"/>
              <w:left w:val="single" w:sz="4" w:space="0" w:color="auto"/>
              <w:bottom w:val="single" w:sz="4" w:space="0" w:color="auto"/>
              <w:right w:val="single" w:sz="4" w:space="0" w:color="auto"/>
            </w:tcBorders>
            <w:hideMark/>
          </w:tcPr>
          <w:p w14:paraId="7635F626" w14:textId="77777777" w:rsidR="00B512E8" w:rsidRPr="00B512E8" w:rsidRDefault="00B512E8" w:rsidP="00B512E8">
            <w:pPr>
              <w:jc w:val="center"/>
              <w:rPr>
                <w:b/>
                <w:bCs/>
              </w:rPr>
            </w:pPr>
            <w:r w:rsidRPr="00B512E8">
              <w:rPr>
                <w:b/>
                <w:bCs/>
              </w:rPr>
              <w:t>Questions</w:t>
            </w:r>
          </w:p>
        </w:tc>
        <w:tc>
          <w:tcPr>
            <w:tcW w:w="3161" w:type="dxa"/>
            <w:tcBorders>
              <w:top w:val="single" w:sz="4" w:space="0" w:color="auto"/>
              <w:left w:val="single" w:sz="4" w:space="0" w:color="auto"/>
              <w:bottom w:val="single" w:sz="4" w:space="0" w:color="auto"/>
              <w:right w:val="single" w:sz="4" w:space="0" w:color="auto"/>
            </w:tcBorders>
            <w:hideMark/>
          </w:tcPr>
          <w:p w14:paraId="0F30FE2D" w14:textId="77777777" w:rsidR="00B512E8" w:rsidRPr="00B512E8" w:rsidRDefault="00B512E8" w:rsidP="00B512E8">
            <w:pPr>
              <w:jc w:val="center"/>
              <w:rPr>
                <w:b/>
                <w:bCs/>
              </w:rPr>
            </w:pPr>
            <w:r w:rsidRPr="00B512E8">
              <w:rPr>
                <w:b/>
                <w:bCs/>
              </w:rPr>
              <w:t>Réponses</w:t>
            </w:r>
          </w:p>
        </w:tc>
      </w:tr>
      <w:tr w:rsidR="00B512E8" w:rsidRPr="00B512E8" w14:paraId="5B6C6617" w14:textId="77777777" w:rsidTr="00B512E8">
        <w:tc>
          <w:tcPr>
            <w:tcW w:w="1100" w:type="dxa"/>
            <w:tcBorders>
              <w:top w:val="single" w:sz="4" w:space="0" w:color="auto"/>
              <w:left w:val="single" w:sz="4" w:space="0" w:color="auto"/>
              <w:bottom w:val="single" w:sz="4" w:space="0" w:color="auto"/>
              <w:right w:val="single" w:sz="4" w:space="0" w:color="auto"/>
            </w:tcBorders>
            <w:hideMark/>
          </w:tcPr>
          <w:p w14:paraId="72360656" w14:textId="77777777" w:rsidR="00B512E8" w:rsidRPr="00B512E8" w:rsidRDefault="00B512E8" w:rsidP="00B512E8">
            <w:pPr>
              <w:jc w:val="both"/>
              <w:rPr>
                <w:rFonts w:ascii="Helvetica" w:eastAsia="Times New Roman" w:hAnsi="Helvetica"/>
                <w:color w:val="000000"/>
                <w:sz w:val="20"/>
                <w:szCs w:val="20"/>
              </w:rPr>
            </w:pPr>
            <w:r w:rsidRPr="00B512E8">
              <w:rPr>
                <w:rFonts w:ascii="Helvetica" w:eastAsia="Times New Roman" w:hAnsi="Helvetica"/>
                <w:color w:val="000000"/>
                <w:sz w:val="20"/>
                <w:szCs w:val="20"/>
              </w:rPr>
              <w:t>1</w:t>
            </w:r>
          </w:p>
        </w:tc>
        <w:tc>
          <w:tcPr>
            <w:tcW w:w="4914" w:type="dxa"/>
            <w:tcBorders>
              <w:top w:val="single" w:sz="4" w:space="0" w:color="auto"/>
              <w:left w:val="single" w:sz="4" w:space="0" w:color="auto"/>
              <w:bottom w:val="single" w:sz="4" w:space="0" w:color="auto"/>
              <w:right w:val="single" w:sz="4" w:space="0" w:color="auto"/>
            </w:tcBorders>
          </w:tcPr>
          <w:p w14:paraId="1D9DF546" w14:textId="77777777" w:rsidR="00B512E8" w:rsidRPr="00B512E8" w:rsidRDefault="00B512E8" w:rsidP="00B512E8">
            <w:pPr>
              <w:jc w:val="both"/>
              <w:rPr>
                <w:rFonts w:ascii="Helvetica" w:eastAsia="Times New Roman" w:hAnsi="Helvetica"/>
                <w:color w:val="000000"/>
                <w:sz w:val="20"/>
                <w:szCs w:val="20"/>
              </w:rPr>
            </w:pPr>
            <w:r w:rsidRPr="00B512E8">
              <w:rPr>
                <w:rFonts w:ascii="Helvetica" w:eastAsia="Times New Roman" w:hAnsi="Helvetica"/>
                <w:color w:val="000000"/>
                <w:sz w:val="20"/>
                <w:szCs w:val="20"/>
              </w:rPr>
              <w:t>Pouvez-vous confirmer que le prix renseigné pour chaque unité d’œuvre constitue un forfait applicable quelle que soit la charge effective comprise dans la tranche concernée (31 à 90 jours, 91 à 120 jours et 121 à 180 jours) ?</w:t>
            </w:r>
          </w:p>
          <w:p w14:paraId="4FD744C9" w14:textId="77777777" w:rsidR="00B512E8" w:rsidRPr="00B512E8" w:rsidRDefault="00B512E8" w:rsidP="00B512E8"/>
        </w:tc>
        <w:tc>
          <w:tcPr>
            <w:tcW w:w="3161" w:type="dxa"/>
            <w:tcBorders>
              <w:top w:val="single" w:sz="4" w:space="0" w:color="auto"/>
              <w:left w:val="single" w:sz="4" w:space="0" w:color="auto"/>
              <w:bottom w:val="single" w:sz="4" w:space="0" w:color="auto"/>
              <w:right w:val="single" w:sz="4" w:space="0" w:color="auto"/>
            </w:tcBorders>
          </w:tcPr>
          <w:p w14:paraId="1076C25E"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 xml:space="preserve">Le montage financier de l’accord-cadre repose sur des unités d’œuvre « simple », « forte » et « complexe » au regard des charges associées pour chaque type d’audit (« simple » : charge comprise entre 31 et 90 jours ouvrés / « moyenne » : charge comprise entre 91 et 120 jours ouvrés / « complexe » : charge comprise entre 121 et 180 jours ouvrés). </w:t>
            </w:r>
          </w:p>
          <w:p w14:paraId="370B407A" w14:textId="77777777" w:rsidR="00B512E8" w:rsidRPr="00B512E8" w:rsidRDefault="00B512E8" w:rsidP="00B512E8">
            <w:pPr>
              <w:jc w:val="both"/>
              <w:rPr>
                <w:rFonts w:ascii="Helvetica" w:eastAsia="Times New Roman" w:hAnsi="Helvetica"/>
                <w:color w:val="000000" w:themeColor="text1"/>
                <w:sz w:val="20"/>
                <w:szCs w:val="20"/>
              </w:rPr>
            </w:pPr>
          </w:p>
          <w:p w14:paraId="45B5683A" w14:textId="77777777" w:rsidR="00B512E8" w:rsidRPr="00B512E8" w:rsidRDefault="00B512E8" w:rsidP="00B512E8">
            <w:pPr>
              <w:jc w:val="both"/>
              <w:rPr>
                <w:rFonts w:ascii="Helvetica" w:eastAsia="Times New Roman" w:hAnsi="Helvetica"/>
                <w:color w:val="000000" w:themeColor="text1"/>
                <w:sz w:val="17"/>
                <w:szCs w:val="17"/>
              </w:rPr>
            </w:pPr>
            <w:r w:rsidRPr="00B512E8">
              <w:rPr>
                <w:rFonts w:ascii="Helvetica" w:eastAsia="Times New Roman" w:hAnsi="Helvetica"/>
                <w:color w:val="000000" w:themeColor="text1"/>
                <w:sz w:val="20"/>
                <w:szCs w:val="20"/>
              </w:rPr>
              <w:t xml:space="preserve">Le prix à renseigner par vos soins pour chaque unité d’œuvre correspond bien à un prix forfaitaire unique et ce, quelle que soit la charge de travail effective occasionnée. </w:t>
            </w:r>
          </w:p>
        </w:tc>
      </w:tr>
      <w:tr w:rsidR="00B512E8" w:rsidRPr="00B512E8" w14:paraId="7728BAC2" w14:textId="77777777" w:rsidTr="00B512E8">
        <w:tc>
          <w:tcPr>
            <w:tcW w:w="1100" w:type="dxa"/>
            <w:tcBorders>
              <w:top w:val="single" w:sz="4" w:space="0" w:color="auto"/>
              <w:left w:val="single" w:sz="4" w:space="0" w:color="auto"/>
              <w:bottom w:val="single" w:sz="4" w:space="0" w:color="auto"/>
              <w:right w:val="single" w:sz="4" w:space="0" w:color="auto"/>
            </w:tcBorders>
            <w:hideMark/>
          </w:tcPr>
          <w:p w14:paraId="68956535" w14:textId="77777777" w:rsidR="00B512E8" w:rsidRPr="00B512E8" w:rsidRDefault="00B512E8" w:rsidP="00B512E8">
            <w:pPr>
              <w:jc w:val="both"/>
              <w:rPr>
                <w:rFonts w:ascii="Helvetica" w:eastAsia="Times New Roman" w:hAnsi="Helvetica"/>
                <w:color w:val="000000"/>
                <w:sz w:val="20"/>
                <w:szCs w:val="20"/>
              </w:rPr>
            </w:pPr>
            <w:r w:rsidRPr="00B512E8">
              <w:rPr>
                <w:rFonts w:ascii="Helvetica" w:eastAsia="Times New Roman" w:hAnsi="Helvetica"/>
                <w:color w:val="000000"/>
                <w:sz w:val="20"/>
                <w:szCs w:val="20"/>
              </w:rPr>
              <w:t>2</w:t>
            </w:r>
          </w:p>
        </w:tc>
        <w:tc>
          <w:tcPr>
            <w:tcW w:w="4914" w:type="dxa"/>
            <w:tcBorders>
              <w:top w:val="single" w:sz="4" w:space="0" w:color="auto"/>
              <w:left w:val="single" w:sz="4" w:space="0" w:color="auto"/>
              <w:bottom w:val="single" w:sz="4" w:space="0" w:color="auto"/>
              <w:right w:val="single" w:sz="4" w:space="0" w:color="auto"/>
            </w:tcBorders>
          </w:tcPr>
          <w:p w14:paraId="46588ED3" w14:textId="77777777" w:rsidR="00B512E8" w:rsidRPr="00B512E8" w:rsidRDefault="00B512E8" w:rsidP="00B512E8">
            <w:pPr>
              <w:jc w:val="both"/>
              <w:rPr>
                <w:rFonts w:ascii="Helvetica" w:eastAsia="Times New Roman" w:hAnsi="Helvetica"/>
                <w:color w:val="000000"/>
                <w:sz w:val="20"/>
                <w:szCs w:val="20"/>
              </w:rPr>
            </w:pPr>
            <w:r w:rsidRPr="00B512E8">
              <w:rPr>
                <w:rFonts w:ascii="Helvetica" w:eastAsia="Times New Roman" w:hAnsi="Helvetica"/>
                <w:color w:val="000000"/>
                <w:sz w:val="20"/>
                <w:szCs w:val="20"/>
              </w:rPr>
              <w:t>La charge indiquée dans le BPU correspond-elle à des jours-personnes cumulés pour l’ensemble de l’équipe mobilisée ou à la durée globale de la mission ?</w:t>
            </w:r>
          </w:p>
          <w:p w14:paraId="4E6C160F" w14:textId="77777777" w:rsidR="00B512E8" w:rsidRPr="00B512E8" w:rsidRDefault="00B512E8" w:rsidP="00B512E8">
            <w:pPr>
              <w:jc w:val="both"/>
              <w:rPr>
                <w:rFonts w:ascii="Helvetica" w:eastAsia="Times New Roman" w:hAnsi="Helvetica"/>
                <w:color w:val="000000"/>
                <w:kern w:val="0"/>
                <w:sz w:val="20"/>
                <w:szCs w:val="20"/>
                <w:lang w:eastAsia="fr-FR"/>
                <w14:ligatures w14:val="none"/>
              </w:rPr>
            </w:pPr>
          </w:p>
        </w:tc>
        <w:tc>
          <w:tcPr>
            <w:tcW w:w="3161" w:type="dxa"/>
            <w:tcBorders>
              <w:top w:val="single" w:sz="4" w:space="0" w:color="auto"/>
              <w:left w:val="single" w:sz="4" w:space="0" w:color="auto"/>
              <w:bottom w:val="single" w:sz="4" w:space="0" w:color="auto"/>
              <w:right w:val="single" w:sz="4" w:space="0" w:color="auto"/>
            </w:tcBorders>
            <w:hideMark/>
          </w:tcPr>
          <w:p w14:paraId="23971C63" w14:textId="77777777" w:rsidR="00B512E8" w:rsidRPr="00B512E8" w:rsidRDefault="00B512E8" w:rsidP="00B512E8">
            <w:pPr>
              <w:jc w:val="both"/>
              <w:rPr>
                <w:rFonts w:ascii="Helvetica" w:eastAsia="Times New Roman" w:hAnsi="Helvetica"/>
                <w:color w:val="000000" w:themeColor="text1"/>
                <w:sz w:val="17"/>
                <w:szCs w:val="17"/>
              </w:rPr>
            </w:pPr>
            <w:r w:rsidRPr="00B512E8">
              <w:rPr>
                <w:rFonts w:ascii="Helvetica" w:eastAsia="Times New Roman" w:hAnsi="Helvetica"/>
                <w:color w:val="000000" w:themeColor="text1"/>
                <w:sz w:val="20"/>
                <w:szCs w:val="20"/>
              </w:rPr>
              <w:t xml:space="preserve">La charge indiquée dans les unités d’œuvre du BPU correspond au nombre de j/H cumulés mobilisés pour la réalisation de la mission. </w:t>
            </w:r>
          </w:p>
        </w:tc>
      </w:tr>
      <w:tr w:rsidR="00B512E8" w:rsidRPr="00B512E8" w14:paraId="0043F734" w14:textId="77777777" w:rsidTr="00B512E8">
        <w:tc>
          <w:tcPr>
            <w:tcW w:w="1100" w:type="dxa"/>
            <w:tcBorders>
              <w:top w:val="single" w:sz="4" w:space="0" w:color="auto"/>
              <w:left w:val="single" w:sz="4" w:space="0" w:color="auto"/>
              <w:bottom w:val="single" w:sz="4" w:space="0" w:color="auto"/>
              <w:right w:val="single" w:sz="4" w:space="0" w:color="auto"/>
            </w:tcBorders>
            <w:hideMark/>
          </w:tcPr>
          <w:p w14:paraId="7091988A" w14:textId="77777777" w:rsidR="00B512E8" w:rsidRPr="00B512E8" w:rsidRDefault="00B512E8" w:rsidP="00B512E8">
            <w:pPr>
              <w:jc w:val="both"/>
              <w:rPr>
                <w:rFonts w:ascii="Helvetica" w:eastAsia="Times New Roman" w:hAnsi="Helvetica"/>
                <w:color w:val="000000"/>
                <w:sz w:val="20"/>
                <w:szCs w:val="20"/>
              </w:rPr>
            </w:pPr>
            <w:r w:rsidRPr="00B512E8">
              <w:rPr>
                <w:rFonts w:ascii="Helvetica" w:eastAsia="Times New Roman" w:hAnsi="Helvetica"/>
                <w:color w:val="000000"/>
                <w:sz w:val="20"/>
                <w:szCs w:val="20"/>
              </w:rPr>
              <w:t>3</w:t>
            </w:r>
          </w:p>
        </w:tc>
        <w:tc>
          <w:tcPr>
            <w:tcW w:w="4914" w:type="dxa"/>
            <w:tcBorders>
              <w:top w:val="single" w:sz="4" w:space="0" w:color="auto"/>
              <w:left w:val="single" w:sz="4" w:space="0" w:color="auto"/>
              <w:bottom w:val="single" w:sz="4" w:space="0" w:color="auto"/>
              <w:right w:val="single" w:sz="4" w:space="0" w:color="auto"/>
            </w:tcBorders>
          </w:tcPr>
          <w:p w14:paraId="1C95CDE9" w14:textId="77777777" w:rsidR="00B512E8" w:rsidRPr="00B512E8" w:rsidRDefault="00B512E8" w:rsidP="00B512E8">
            <w:pPr>
              <w:jc w:val="both"/>
              <w:rPr>
                <w:rFonts w:ascii="Helvetica" w:eastAsia="Times New Roman" w:hAnsi="Helvetica"/>
                <w:color w:val="000000"/>
                <w:sz w:val="20"/>
                <w:szCs w:val="20"/>
              </w:rPr>
            </w:pPr>
            <w:r w:rsidRPr="00B512E8">
              <w:rPr>
                <w:rFonts w:ascii="Helvetica" w:eastAsia="Times New Roman" w:hAnsi="Helvetica"/>
                <w:color w:val="000000"/>
                <w:sz w:val="20"/>
                <w:szCs w:val="20"/>
              </w:rPr>
              <w:t>Dans quelles conditions l’unité d’œuvre « coût par jour ouvré supplémentaire » peut-elle être utilisée ? Peut-elle compléter chacune des tranches prévues au BPU ou uniquement les missions dépassant 180 jours ouvrés ?</w:t>
            </w:r>
          </w:p>
          <w:p w14:paraId="3A092D26" w14:textId="77777777" w:rsidR="00B512E8" w:rsidRPr="00B512E8" w:rsidRDefault="00B512E8" w:rsidP="00B512E8">
            <w:pPr>
              <w:jc w:val="both"/>
              <w:rPr>
                <w:rFonts w:ascii="Helvetica" w:eastAsia="Times New Roman" w:hAnsi="Helvetica"/>
                <w:color w:val="000000"/>
                <w:kern w:val="0"/>
                <w:sz w:val="20"/>
                <w:szCs w:val="20"/>
                <w:lang w:eastAsia="fr-FR"/>
                <w14:ligatures w14:val="none"/>
              </w:rPr>
            </w:pPr>
          </w:p>
        </w:tc>
        <w:tc>
          <w:tcPr>
            <w:tcW w:w="3161" w:type="dxa"/>
            <w:tcBorders>
              <w:top w:val="single" w:sz="4" w:space="0" w:color="auto"/>
              <w:left w:val="single" w:sz="4" w:space="0" w:color="auto"/>
              <w:bottom w:val="single" w:sz="4" w:space="0" w:color="auto"/>
              <w:right w:val="single" w:sz="4" w:space="0" w:color="auto"/>
            </w:tcBorders>
          </w:tcPr>
          <w:p w14:paraId="0D15EBEA" w14:textId="77777777" w:rsidR="00B512E8" w:rsidRPr="00B512E8" w:rsidRDefault="00B512E8" w:rsidP="00B512E8">
            <w:pPr>
              <w:jc w:val="both"/>
              <w:rPr>
                <w:rFonts w:ascii="Helvetica" w:eastAsia="Times New Roman" w:hAnsi="Helvetica"/>
                <w:color w:val="000000"/>
                <w:sz w:val="20"/>
                <w:szCs w:val="20"/>
              </w:rPr>
            </w:pPr>
            <w:r w:rsidRPr="00B512E8">
              <w:rPr>
                <w:rFonts w:ascii="Helvetica" w:eastAsia="Times New Roman" w:hAnsi="Helvetica"/>
                <w:color w:val="000000"/>
                <w:sz w:val="20"/>
                <w:szCs w:val="20"/>
              </w:rPr>
              <w:t>L’unité d’œuvre « coût par jour ouvré supplémentaire » peut-être utilisée pour compléter chacune des UO prévues au BPU, elle n’est donc pas exclusive à la dernière tranche dépassant 180 jours.</w:t>
            </w:r>
          </w:p>
          <w:p w14:paraId="1D083312" w14:textId="77777777" w:rsidR="00B512E8" w:rsidRPr="00B512E8" w:rsidRDefault="00B512E8" w:rsidP="00B512E8">
            <w:pPr>
              <w:jc w:val="both"/>
              <w:rPr>
                <w:rFonts w:ascii="Helvetica" w:eastAsia="Times New Roman" w:hAnsi="Helvetica"/>
                <w:color w:val="000000" w:themeColor="text1"/>
                <w:sz w:val="20"/>
                <w:szCs w:val="20"/>
              </w:rPr>
            </w:pPr>
          </w:p>
          <w:p w14:paraId="5E9C02D1"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Elle s’appliquera en cas de dépassement de charges prévue dans le cadre de l’exécution des prestations afférentes à l’UO commandée.</w:t>
            </w:r>
          </w:p>
          <w:p w14:paraId="2224FE7E" w14:textId="77777777" w:rsidR="00B512E8" w:rsidRPr="00B512E8" w:rsidRDefault="00B512E8" w:rsidP="00B512E8">
            <w:pPr>
              <w:jc w:val="both"/>
              <w:rPr>
                <w:rFonts w:ascii="Helvetica" w:eastAsia="Times New Roman" w:hAnsi="Helvetica"/>
                <w:color w:val="000000"/>
                <w:sz w:val="20"/>
                <w:szCs w:val="20"/>
              </w:rPr>
            </w:pPr>
          </w:p>
        </w:tc>
      </w:tr>
      <w:tr w:rsidR="00B512E8" w:rsidRPr="00B512E8" w14:paraId="687FD65D" w14:textId="77777777" w:rsidTr="00B512E8">
        <w:tc>
          <w:tcPr>
            <w:tcW w:w="1100" w:type="dxa"/>
            <w:tcBorders>
              <w:top w:val="single" w:sz="4" w:space="0" w:color="auto"/>
              <w:left w:val="single" w:sz="4" w:space="0" w:color="auto"/>
              <w:bottom w:val="single" w:sz="4" w:space="0" w:color="auto"/>
              <w:right w:val="single" w:sz="4" w:space="0" w:color="auto"/>
            </w:tcBorders>
            <w:hideMark/>
          </w:tcPr>
          <w:p w14:paraId="4A6F27AF"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4</w:t>
            </w:r>
          </w:p>
        </w:tc>
        <w:tc>
          <w:tcPr>
            <w:tcW w:w="4914" w:type="dxa"/>
            <w:tcBorders>
              <w:top w:val="single" w:sz="4" w:space="0" w:color="auto"/>
              <w:left w:val="single" w:sz="4" w:space="0" w:color="auto"/>
              <w:bottom w:val="single" w:sz="4" w:space="0" w:color="auto"/>
              <w:right w:val="single" w:sz="4" w:space="0" w:color="auto"/>
            </w:tcBorders>
          </w:tcPr>
          <w:p w14:paraId="25523B58"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Pouvez-vous communiquer, à titre indicatif, la répartition prévisionnelle des audits entre les différentes catégories du lot n°2 ainsi que les tranches de charge les plus fréquemment envisagées ?</w:t>
            </w:r>
          </w:p>
          <w:p w14:paraId="5EBB6DDE" w14:textId="77777777" w:rsidR="00B512E8" w:rsidRPr="00B512E8" w:rsidRDefault="00B512E8" w:rsidP="00B512E8">
            <w:pPr>
              <w:jc w:val="both"/>
              <w:rPr>
                <w:rFonts w:ascii="Helvetica" w:eastAsia="Times New Roman" w:hAnsi="Helvetica"/>
                <w:color w:val="000000" w:themeColor="text1"/>
                <w:kern w:val="0"/>
                <w:sz w:val="20"/>
                <w:szCs w:val="20"/>
                <w:lang w:eastAsia="fr-FR"/>
                <w14:ligatures w14:val="none"/>
              </w:rPr>
            </w:pPr>
          </w:p>
        </w:tc>
        <w:tc>
          <w:tcPr>
            <w:tcW w:w="3161" w:type="dxa"/>
            <w:tcBorders>
              <w:top w:val="single" w:sz="4" w:space="0" w:color="auto"/>
              <w:left w:val="single" w:sz="4" w:space="0" w:color="auto"/>
              <w:bottom w:val="single" w:sz="4" w:space="0" w:color="auto"/>
              <w:right w:val="single" w:sz="4" w:space="0" w:color="auto"/>
            </w:tcBorders>
            <w:hideMark/>
          </w:tcPr>
          <w:p w14:paraId="5772C1C0"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 xml:space="preserve">A titre indicatif, les audits de départements/fonctions sont estimés à deux tiers des commandes prévisionnelles. </w:t>
            </w:r>
          </w:p>
        </w:tc>
      </w:tr>
      <w:tr w:rsidR="00B512E8" w:rsidRPr="00B512E8" w14:paraId="43FF6DE9" w14:textId="77777777" w:rsidTr="00B512E8">
        <w:tc>
          <w:tcPr>
            <w:tcW w:w="1100" w:type="dxa"/>
            <w:tcBorders>
              <w:top w:val="single" w:sz="4" w:space="0" w:color="auto"/>
              <w:left w:val="single" w:sz="4" w:space="0" w:color="auto"/>
              <w:bottom w:val="single" w:sz="4" w:space="0" w:color="auto"/>
              <w:right w:val="single" w:sz="4" w:space="0" w:color="auto"/>
            </w:tcBorders>
            <w:hideMark/>
          </w:tcPr>
          <w:p w14:paraId="0B4F920B"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5</w:t>
            </w:r>
          </w:p>
        </w:tc>
        <w:tc>
          <w:tcPr>
            <w:tcW w:w="4914" w:type="dxa"/>
            <w:tcBorders>
              <w:top w:val="single" w:sz="4" w:space="0" w:color="auto"/>
              <w:left w:val="single" w:sz="4" w:space="0" w:color="auto"/>
              <w:bottom w:val="single" w:sz="4" w:space="0" w:color="auto"/>
              <w:right w:val="single" w:sz="4" w:space="0" w:color="auto"/>
            </w:tcBorders>
            <w:hideMark/>
          </w:tcPr>
          <w:p w14:paraId="06A264D3"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Report de DLRO et modification du DCE</w:t>
            </w:r>
          </w:p>
        </w:tc>
        <w:tc>
          <w:tcPr>
            <w:tcW w:w="3161" w:type="dxa"/>
            <w:tcBorders>
              <w:top w:val="single" w:sz="4" w:space="0" w:color="auto"/>
              <w:left w:val="single" w:sz="4" w:space="0" w:color="auto"/>
              <w:bottom w:val="single" w:sz="4" w:space="0" w:color="auto"/>
              <w:right w:val="single" w:sz="4" w:space="0" w:color="auto"/>
            </w:tcBorders>
            <w:hideMark/>
          </w:tcPr>
          <w:p w14:paraId="1F02A84E"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 xml:space="preserve">En raison des modifications apportées, la DLRO est reportée au 7 octobre 2026 à 12H. Une version modifiée du DCE va vous être communiquée. </w:t>
            </w:r>
          </w:p>
        </w:tc>
      </w:tr>
      <w:tr w:rsidR="00B512E8" w:rsidRPr="00B512E8" w14:paraId="0A1E3494" w14:textId="77777777" w:rsidTr="00B512E8">
        <w:tc>
          <w:tcPr>
            <w:tcW w:w="1100" w:type="dxa"/>
            <w:tcBorders>
              <w:top w:val="single" w:sz="4" w:space="0" w:color="auto"/>
              <w:left w:val="single" w:sz="4" w:space="0" w:color="auto"/>
              <w:bottom w:val="single" w:sz="4" w:space="0" w:color="auto"/>
              <w:right w:val="single" w:sz="4" w:space="0" w:color="auto"/>
            </w:tcBorders>
            <w:hideMark/>
          </w:tcPr>
          <w:p w14:paraId="3928589D"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sz w:val="20"/>
                <w:szCs w:val="20"/>
              </w:rPr>
              <w:t>6</w:t>
            </w:r>
          </w:p>
        </w:tc>
        <w:tc>
          <w:tcPr>
            <w:tcW w:w="4914" w:type="dxa"/>
            <w:tcBorders>
              <w:top w:val="single" w:sz="4" w:space="0" w:color="auto"/>
              <w:left w:val="single" w:sz="4" w:space="0" w:color="auto"/>
              <w:bottom w:val="single" w:sz="4" w:space="0" w:color="auto"/>
              <w:right w:val="single" w:sz="4" w:space="0" w:color="auto"/>
            </w:tcBorders>
          </w:tcPr>
          <w:p w14:paraId="5BDC5820" w14:textId="77777777" w:rsidR="00B512E8" w:rsidRPr="00B512E8" w:rsidRDefault="00B512E8" w:rsidP="00B512E8">
            <w:pPr>
              <w:jc w:val="both"/>
              <w:rPr>
                <w:rFonts w:ascii="Helvetica" w:eastAsia="Times New Roman" w:hAnsi="Helvetica"/>
                <w:color w:val="000000"/>
                <w:sz w:val="20"/>
                <w:szCs w:val="20"/>
              </w:rPr>
            </w:pPr>
            <w:r w:rsidRPr="00B512E8">
              <w:rPr>
                <w:rFonts w:ascii="Helvetica" w:eastAsia="Times New Roman" w:hAnsi="Helvetica"/>
                <w:color w:val="000000"/>
                <w:sz w:val="20"/>
                <w:szCs w:val="20"/>
              </w:rPr>
              <w:t xml:space="preserve">Serait-il possible d’obtenir la répartition historique du nombre de missions d’audit </w:t>
            </w:r>
            <w:proofErr w:type="gramStart"/>
            <w:r w:rsidRPr="00B512E8">
              <w:rPr>
                <w:rFonts w:ascii="Helvetica" w:eastAsia="Times New Roman" w:hAnsi="Helvetica"/>
                <w:color w:val="000000"/>
                <w:sz w:val="20"/>
                <w:szCs w:val="20"/>
              </w:rPr>
              <w:t>( lot</w:t>
            </w:r>
            <w:proofErr w:type="gramEnd"/>
            <w:r w:rsidRPr="00B512E8">
              <w:rPr>
                <w:rFonts w:ascii="Helvetica" w:eastAsia="Times New Roman" w:hAnsi="Helvetica"/>
                <w:color w:val="000000"/>
                <w:sz w:val="20"/>
                <w:szCs w:val="20"/>
              </w:rPr>
              <w:t xml:space="preserve"> 2) engagées lors du précédent marché par UO ? L’objectif serait d’apprécier la charge historique des missions d’audit réalisées par unité d’œuvre.</w:t>
            </w:r>
          </w:p>
          <w:p w14:paraId="2F2D9C57" w14:textId="77777777" w:rsidR="00B512E8" w:rsidRPr="00B512E8" w:rsidRDefault="00B512E8" w:rsidP="00B512E8">
            <w:pPr>
              <w:jc w:val="both"/>
              <w:rPr>
                <w:rFonts w:ascii="Helvetica" w:eastAsia="Times New Roman" w:hAnsi="Helvetica"/>
                <w:color w:val="000000" w:themeColor="text1"/>
                <w:sz w:val="20"/>
                <w:szCs w:val="20"/>
              </w:rPr>
            </w:pPr>
          </w:p>
        </w:tc>
        <w:tc>
          <w:tcPr>
            <w:tcW w:w="3161" w:type="dxa"/>
            <w:tcBorders>
              <w:top w:val="single" w:sz="4" w:space="0" w:color="auto"/>
              <w:left w:val="single" w:sz="4" w:space="0" w:color="auto"/>
              <w:bottom w:val="single" w:sz="4" w:space="0" w:color="auto"/>
              <w:right w:val="single" w:sz="4" w:space="0" w:color="auto"/>
            </w:tcBorders>
          </w:tcPr>
          <w:p w14:paraId="03D391D9"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 xml:space="preserve">Les audits de département/fonction ont représenté 100% des commandes, soit trois audits, dont 2 prestations d’audits nécessitant une charge comprise </w:t>
            </w:r>
            <w:r w:rsidRPr="00B512E8">
              <w:rPr>
                <w:rFonts w:ascii="Helvetica" w:eastAsia="Times New Roman" w:hAnsi="Helvetica"/>
                <w:color w:val="000000" w:themeColor="text1"/>
                <w:sz w:val="20"/>
                <w:szCs w:val="20"/>
              </w:rPr>
              <w:lastRenderedPageBreak/>
              <w:t>entre 31 jours et 90 jours ouvrés et 1 prestation d’audit nécessitant une charge comprise entre 91 et 120 jours ouvrés.</w:t>
            </w:r>
          </w:p>
          <w:p w14:paraId="668ED5F2" w14:textId="77777777" w:rsidR="00B512E8" w:rsidRPr="00B512E8" w:rsidRDefault="00B512E8" w:rsidP="00B512E8">
            <w:pPr>
              <w:jc w:val="both"/>
              <w:rPr>
                <w:rFonts w:ascii="Helvetica" w:eastAsia="Times New Roman" w:hAnsi="Helvetica"/>
                <w:color w:val="000000" w:themeColor="text1"/>
                <w:sz w:val="20"/>
                <w:szCs w:val="20"/>
              </w:rPr>
            </w:pPr>
          </w:p>
          <w:p w14:paraId="10B293E3"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 xml:space="preserve">La consommation communiquée ci-dessus est sensiblement différente de l’estimation prévue à l’article 3.2 du CCTP pour le présent accord cadre. </w:t>
            </w:r>
          </w:p>
          <w:p w14:paraId="2DE01F51" w14:textId="77777777" w:rsidR="00B512E8" w:rsidRPr="00B512E8" w:rsidRDefault="00B512E8" w:rsidP="00B512E8">
            <w:pPr>
              <w:jc w:val="both"/>
              <w:rPr>
                <w:rFonts w:ascii="Helvetica" w:eastAsia="Times New Roman" w:hAnsi="Helvetica"/>
                <w:color w:val="000000" w:themeColor="text1"/>
                <w:sz w:val="20"/>
                <w:szCs w:val="20"/>
              </w:rPr>
            </w:pPr>
          </w:p>
        </w:tc>
      </w:tr>
      <w:tr w:rsidR="00B512E8" w:rsidRPr="00B512E8" w14:paraId="4CB30EFB" w14:textId="77777777" w:rsidTr="00B512E8">
        <w:tc>
          <w:tcPr>
            <w:tcW w:w="1100" w:type="dxa"/>
            <w:tcBorders>
              <w:top w:val="single" w:sz="4" w:space="0" w:color="auto"/>
              <w:left w:val="single" w:sz="4" w:space="0" w:color="auto"/>
              <w:bottom w:val="single" w:sz="4" w:space="0" w:color="auto"/>
              <w:right w:val="single" w:sz="4" w:space="0" w:color="auto"/>
            </w:tcBorders>
            <w:hideMark/>
          </w:tcPr>
          <w:p w14:paraId="43D3D68D" w14:textId="77777777" w:rsidR="00B512E8" w:rsidRPr="00B512E8" w:rsidRDefault="00B512E8" w:rsidP="00B512E8">
            <w:pPr>
              <w:jc w:val="both"/>
              <w:rPr>
                <w:rFonts w:ascii="Helvetica" w:eastAsia="Times New Roman" w:hAnsi="Helvetica"/>
                <w:color w:val="000000"/>
                <w:sz w:val="20"/>
                <w:szCs w:val="20"/>
              </w:rPr>
            </w:pPr>
            <w:r w:rsidRPr="00B512E8">
              <w:rPr>
                <w:rFonts w:ascii="Helvetica" w:eastAsia="Times New Roman" w:hAnsi="Helvetica"/>
                <w:color w:val="000000"/>
                <w:sz w:val="20"/>
                <w:szCs w:val="20"/>
              </w:rPr>
              <w:lastRenderedPageBreak/>
              <w:t>7</w:t>
            </w:r>
          </w:p>
        </w:tc>
        <w:tc>
          <w:tcPr>
            <w:tcW w:w="4914" w:type="dxa"/>
            <w:tcBorders>
              <w:top w:val="single" w:sz="4" w:space="0" w:color="auto"/>
              <w:left w:val="single" w:sz="4" w:space="0" w:color="auto"/>
              <w:bottom w:val="single" w:sz="4" w:space="0" w:color="auto"/>
              <w:right w:val="single" w:sz="4" w:space="0" w:color="auto"/>
            </w:tcBorders>
          </w:tcPr>
          <w:p w14:paraId="30DAAF52" w14:textId="77777777" w:rsidR="00B512E8" w:rsidRPr="00B512E8" w:rsidRDefault="00B512E8" w:rsidP="00B512E8">
            <w:pPr>
              <w:jc w:val="both"/>
              <w:rPr>
                <w:rFonts w:ascii="Helvetica" w:eastAsia="Times New Roman" w:hAnsi="Helvetica"/>
                <w:color w:val="000000"/>
                <w:sz w:val="20"/>
                <w:szCs w:val="20"/>
              </w:rPr>
            </w:pPr>
            <w:r w:rsidRPr="00B512E8">
              <w:rPr>
                <w:rFonts w:ascii="Helvetica" w:eastAsia="Times New Roman" w:hAnsi="Helvetica"/>
                <w:color w:val="000000"/>
                <w:sz w:val="20"/>
                <w:szCs w:val="20"/>
              </w:rPr>
              <w:t>Pouvez-vous nous confirmer si les tarifs attendus dans les BPU correspondent bien à une proposition de Taux Journalier Moyen (Prix € HT et Prix € TTC) par UO ?</w:t>
            </w:r>
          </w:p>
          <w:p w14:paraId="5084BD4C" w14:textId="77777777" w:rsidR="00B512E8" w:rsidRPr="00B512E8" w:rsidRDefault="00B512E8" w:rsidP="00B512E8">
            <w:pPr>
              <w:jc w:val="both"/>
              <w:rPr>
                <w:rFonts w:ascii="Helvetica" w:eastAsia="Times New Roman" w:hAnsi="Helvetica"/>
                <w:color w:val="000000"/>
                <w:sz w:val="20"/>
                <w:szCs w:val="20"/>
              </w:rPr>
            </w:pPr>
          </w:p>
          <w:p w14:paraId="0F5EE4A7" w14:textId="77777777" w:rsidR="00B512E8" w:rsidRPr="00B512E8" w:rsidRDefault="00B512E8" w:rsidP="00B512E8">
            <w:pPr>
              <w:jc w:val="both"/>
              <w:rPr>
                <w:rFonts w:ascii="Helvetica" w:eastAsia="Times New Roman" w:hAnsi="Helvetica"/>
                <w:color w:val="000000"/>
                <w:sz w:val="20"/>
                <w:szCs w:val="20"/>
              </w:rPr>
            </w:pPr>
          </w:p>
          <w:p w14:paraId="46769E8E" w14:textId="77777777" w:rsidR="00B512E8" w:rsidRPr="00B512E8" w:rsidRDefault="00B512E8" w:rsidP="00B512E8">
            <w:pPr>
              <w:jc w:val="both"/>
              <w:rPr>
                <w:rFonts w:ascii="Helvetica" w:eastAsia="Times New Roman" w:hAnsi="Helvetica"/>
                <w:color w:val="000000"/>
                <w:sz w:val="20"/>
                <w:szCs w:val="20"/>
              </w:rPr>
            </w:pPr>
          </w:p>
        </w:tc>
        <w:tc>
          <w:tcPr>
            <w:tcW w:w="3161" w:type="dxa"/>
            <w:tcBorders>
              <w:top w:val="single" w:sz="4" w:space="0" w:color="auto"/>
              <w:left w:val="single" w:sz="4" w:space="0" w:color="auto"/>
              <w:bottom w:val="single" w:sz="4" w:space="0" w:color="auto"/>
              <w:right w:val="single" w:sz="4" w:space="0" w:color="auto"/>
            </w:tcBorders>
            <w:hideMark/>
          </w:tcPr>
          <w:p w14:paraId="4FAD76CA"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Pour chaque UO, le tarif attendu est un tarif forfaitaire unique (global) et non un tarif journalier moyen.</w:t>
            </w:r>
          </w:p>
        </w:tc>
      </w:tr>
      <w:tr w:rsidR="00B512E8" w:rsidRPr="00B512E8" w14:paraId="460CD829" w14:textId="77777777" w:rsidTr="00B512E8">
        <w:tc>
          <w:tcPr>
            <w:tcW w:w="1100" w:type="dxa"/>
            <w:tcBorders>
              <w:top w:val="single" w:sz="4" w:space="0" w:color="auto"/>
              <w:left w:val="single" w:sz="4" w:space="0" w:color="auto"/>
              <w:bottom w:val="single" w:sz="4" w:space="0" w:color="auto"/>
              <w:right w:val="single" w:sz="4" w:space="0" w:color="auto"/>
            </w:tcBorders>
            <w:hideMark/>
          </w:tcPr>
          <w:p w14:paraId="0C5286BB" w14:textId="77777777" w:rsidR="00B512E8" w:rsidRPr="00B512E8" w:rsidRDefault="00B512E8" w:rsidP="00B512E8">
            <w:pPr>
              <w:jc w:val="both"/>
              <w:rPr>
                <w:rFonts w:ascii="Helvetica" w:eastAsia="Times New Roman" w:hAnsi="Helvetica"/>
                <w:color w:val="000000"/>
                <w:sz w:val="20"/>
                <w:szCs w:val="20"/>
              </w:rPr>
            </w:pPr>
            <w:r w:rsidRPr="00B512E8">
              <w:rPr>
                <w:rFonts w:ascii="Helvetica" w:eastAsia="Times New Roman" w:hAnsi="Helvetica"/>
                <w:color w:val="000000"/>
                <w:sz w:val="20"/>
                <w:szCs w:val="20"/>
              </w:rPr>
              <w:t>8</w:t>
            </w:r>
          </w:p>
        </w:tc>
        <w:tc>
          <w:tcPr>
            <w:tcW w:w="4914" w:type="dxa"/>
            <w:tcBorders>
              <w:top w:val="single" w:sz="4" w:space="0" w:color="auto"/>
              <w:left w:val="single" w:sz="4" w:space="0" w:color="auto"/>
              <w:bottom w:val="single" w:sz="4" w:space="0" w:color="auto"/>
              <w:right w:val="single" w:sz="4" w:space="0" w:color="auto"/>
            </w:tcBorders>
          </w:tcPr>
          <w:p w14:paraId="55077BB7" w14:textId="77777777" w:rsidR="00B512E8" w:rsidRPr="00B512E8" w:rsidRDefault="00B512E8" w:rsidP="00B512E8">
            <w:pPr>
              <w:suppressAutoHyphens/>
              <w:spacing w:after="120" w:line="276" w:lineRule="auto"/>
            </w:pPr>
            <w:r w:rsidRPr="00B512E8">
              <w:rPr>
                <w:rFonts w:ascii="Helvetica" w:eastAsia="Times New Roman" w:hAnsi="Helvetica"/>
                <w:color w:val="000000"/>
                <w:kern w:val="0"/>
                <w:sz w:val="20"/>
                <w:szCs w:val="20"/>
                <w:lang w:eastAsia="fr-FR"/>
                <w14:ligatures w14:val="none"/>
              </w:rPr>
              <w:t>Dans le cas d’un tarif forfaitaire par UO, et compte-tenu de la fourchette de jours estimés par</w:t>
            </w:r>
            <w:r w:rsidRPr="00B512E8">
              <w:t xml:space="preserve"> </w:t>
            </w:r>
            <w:r w:rsidRPr="00B512E8">
              <w:rPr>
                <w:rFonts w:ascii="Helvetica" w:eastAsia="Times New Roman" w:hAnsi="Helvetica"/>
                <w:color w:val="000000"/>
                <w:kern w:val="0"/>
                <w:sz w:val="20"/>
                <w:szCs w:val="20"/>
                <w:lang w:eastAsia="fr-FR"/>
                <w14:ligatures w14:val="none"/>
              </w:rPr>
              <w:t>UO aujourd’hui assez large, sera-t-il possible d’affiner le tarif forfaitaire selon la charge estimée liée à chaque mission d’audit ? Par exemple, pour l’UO1.1 du lot 1 correspondant à un audit de projet informatique d’une charge estimée entre 31 et 90 jours, sera-t-il possible d’affiner le tarif au plus proche de la charge et dans la fourchette des 31 et 90 jours pour un tarif optimal ?</w:t>
            </w:r>
          </w:p>
          <w:p w14:paraId="1B21F5C6" w14:textId="77777777" w:rsidR="00B512E8" w:rsidRPr="00B512E8" w:rsidRDefault="00B512E8" w:rsidP="00B512E8">
            <w:pPr>
              <w:jc w:val="both"/>
              <w:rPr>
                <w:rFonts w:ascii="Helvetica" w:eastAsia="Times New Roman" w:hAnsi="Helvetica"/>
                <w:color w:val="000000"/>
                <w:sz w:val="20"/>
                <w:szCs w:val="20"/>
              </w:rPr>
            </w:pPr>
          </w:p>
        </w:tc>
        <w:tc>
          <w:tcPr>
            <w:tcW w:w="3161" w:type="dxa"/>
            <w:tcBorders>
              <w:top w:val="single" w:sz="4" w:space="0" w:color="auto"/>
              <w:left w:val="single" w:sz="4" w:space="0" w:color="auto"/>
              <w:bottom w:val="single" w:sz="4" w:space="0" w:color="auto"/>
              <w:right w:val="single" w:sz="4" w:space="0" w:color="auto"/>
            </w:tcBorders>
          </w:tcPr>
          <w:p w14:paraId="00DE5BB0"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 xml:space="preserve"> Les UO ont été modifiées dans la version remise en ligne le 9 septembre 2026. </w:t>
            </w:r>
          </w:p>
          <w:p w14:paraId="6D702F99" w14:textId="77777777" w:rsidR="00B512E8" w:rsidRPr="00B512E8" w:rsidRDefault="00B512E8" w:rsidP="00B512E8">
            <w:pPr>
              <w:jc w:val="both"/>
              <w:rPr>
                <w:rFonts w:ascii="Helvetica" w:eastAsia="Times New Roman" w:hAnsi="Helvetica"/>
                <w:color w:val="000000" w:themeColor="text1"/>
                <w:sz w:val="20"/>
                <w:szCs w:val="20"/>
              </w:rPr>
            </w:pPr>
          </w:p>
          <w:p w14:paraId="03DEF76C"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Les UO ont été affinés. Il convient par conséquent de prendre en compte la dernière version communiquée des pièces financières pour les lots 1 et 2.</w:t>
            </w:r>
          </w:p>
          <w:p w14:paraId="1BC6AC66" w14:textId="77777777" w:rsidR="00B512E8" w:rsidRPr="00B512E8" w:rsidRDefault="00B512E8" w:rsidP="00B512E8">
            <w:pPr>
              <w:jc w:val="both"/>
              <w:rPr>
                <w:rFonts w:ascii="Helvetica" w:eastAsia="Times New Roman" w:hAnsi="Helvetica"/>
                <w:color w:val="000000" w:themeColor="text1"/>
                <w:sz w:val="20"/>
                <w:szCs w:val="20"/>
              </w:rPr>
            </w:pPr>
          </w:p>
          <w:p w14:paraId="2FD08771"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 xml:space="preserve">Chaque unité d’œuvre est valorisée sous la forme d’un tarif forfaitaire unique, peu importe la charge de travail effective occasionnée par la mission d’audit. </w:t>
            </w:r>
          </w:p>
          <w:p w14:paraId="6DE8D157"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L’article 5 du CCTP précise les conditions d’application de l’UO « Coût par jour ouvré supplémentaire ».</w:t>
            </w:r>
          </w:p>
          <w:p w14:paraId="17B3E7E6" w14:textId="77777777" w:rsidR="00B512E8" w:rsidRPr="00B512E8" w:rsidRDefault="00B512E8" w:rsidP="00B512E8">
            <w:pPr>
              <w:jc w:val="both"/>
              <w:rPr>
                <w:rFonts w:ascii="Helvetica" w:eastAsia="Times New Roman" w:hAnsi="Helvetica"/>
                <w:color w:val="000000" w:themeColor="text1"/>
                <w:sz w:val="20"/>
                <w:szCs w:val="20"/>
              </w:rPr>
            </w:pPr>
          </w:p>
          <w:p w14:paraId="6BD42E9B"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 xml:space="preserve">A titre de rappel l’UO comprise entre 30 et 90 jours a été modifiée par l’UO comprise entre 30 et 60 jours. </w:t>
            </w:r>
          </w:p>
        </w:tc>
      </w:tr>
      <w:tr w:rsidR="00B512E8" w:rsidRPr="00B512E8" w14:paraId="73FC6435" w14:textId="77777777" w:rsidTr="00B512E8">
        <w:tc>
          <w:tcPr>
            <w:tcW w:w="1100" w:type="dxa"/>
            <w:tcBorders>
              <w:top w:val="single" w:sz="4" w:space="0" w:color="auto"/>
              <w:left w:val="single" w:sz="4" w:space="0" w:color="auto"/>
              <w:bottom w:val="single" w:sz="4" w:space="0" w:color="auto"/>
              <w:right w:val="single" w:sz="4" w:space="0" w:color="auto"/>
            </w:tcBorders>
            <w:hideMark/>
          </w:tcPr>
          <w:p w14:paraId="75CD6D71" w14:textId="77777777" w:rsidR="00B512E8" w:rsidRPr="00B512E8" w:rsidRDefault="00B512E8" w:rsidP="00B512E8">
            <w:pPr>
              <w:jc w:val="both"/>
              <w:rPr>
                <w:rFonts w:ascii="Helvetica" w:eastAsia="Times New Roman" w:hAnsi="Helvetica"/>
                <w:color w:val="000000"/>
                <w:sz w:val="20"/>
                <w:szCs w:val="20"/>
              </w:rPr>
            </w:pPr>
            <w:r w:rsidRPr="00B512E8">
              <w:rPr>
                <w:rFonts w:ascii="Helvetica" w:eastAsia="Times New Roman" w:hAnsi="Helvetica"/>
                <w:color w:val="000000"/>
                <w:sz w:val="20"/>
                <w:szCs w:val="20"/>
              </w:rPr>
              <w:t>9</w:t>
            </w:r>
          </w:p>
        </w:tc>
        <w:tc>
          <w:tcPr>
            <w:tcW w:w="4914" w:type="dxa"/>
            <w:tcBorders>
              <w:top w:val="single" w:sz="4" w:space="0" w:color="auto"/>
              <w:left w:val="single" w:sz="4" w:space="0" w:color="auto"/>
              <w:bottom w:val="single" w:sz="4" w:space="0" w:color="auto"/>
              <w:right w:val="single" w:sz="4" w:space="0" w:color="auto"/>
            </w:tcBorders>
          </w:tcPr>
          <w:p w14:paraId="64EC6C01" w14:textId="77777777" w:rsidR="00B512E8" w:rsidRPr="00B512E8" w:rsidRDefault="00B512E8" w:rsidP="00B512E8">
            <w:pPr>
              <w:suppressAutoHyphens/>
              <w:spacing w:after="120" w:line="276" w:lineRule="auto"/>
              <w:rPr>
                <w:rFonts w:ascii="Helvetica" w:eastAsia="Times New Roman" w:hAnsi="Helvetica"/>
                <w:color w:val="000000"/>
                <w:kern w:val="0"/>
                <w:sz w:val="20"/>
                <w:szCs w:val="20"/>
                <w:lang w:eastAsia="fr-FR"/>
                <w14:ligatures w14:val="none"/>
              </w:rPr>
            </w:pPr>
            <w:r w:rsidRPr="00B512E8">
              <w:rPr>
                <w:rFonts w:ascii="Helvetica" w:eastAsia="Times New Roman" w:hAnsi="Helvetica"/>
                <w:color w:val="000000"/>
                <w:kern w:val="0"/>
                <w:sz w:val="20"/>
                <w:szCs w:val="20"/>
                <w:lang w:eastAsia="fr-FR"/>
                <w14:ligatures w14:val="none"/>
              </w:rPr>
              <w:t xml:space="preserve">L’article 7 des CCAP précise les conditions d’exécution des bons de commande, comment se déroule les discussions quant aux estimations de charges réelles par </w:t>
            </w:r>
            <w:proofErr w:type="spellStart"/>
            <w:r w:rsidRPr="00B512E8">
              <w:rPr>
                <w:rFonts w:ascii="Helvetica" w:eastAsia="Times New Roman" w:hAnsi="Helvetica"/>
                <w:color w:val="000000"/>
                <w:kern w:val="0"/>
                <w:sz w:val="20"/>
                <w:szCs w:val="20"/>
                <w:lang w:eastAsia="fr-FR"/>
                <w14:ligatures w14:val="none"/>
              </w:rPr>
              <w:t>Unite</w:t>
            </w:r>
            <w:proofErr w:type="spellEnd"/>
            <w:r w:rsidRPr="00B512E8">
              <w:rPr>
                <w:rFonts w:ascii="Helvetica" w:eastAsia="Times New Roman" w:hAnsi="Helvetica"/>
                <w:color w:val="000000"/>
                <w:kern w:val="0"/>
                <w:sz w:val="20"/>
                <w:szCs w:val="20"/>
                <w:lang w:eastAsia="fr-FR"/>
                <w14:ligatures w14:val="none"/>
              </w:rPr>
              <w:t xml:space="preserve"> d’œuvre ?</w:t>
            </w:r>
          </w:p>
          <w:p w14:paraId="5CF84830" w14:textId="77777777" w:rsidR="00B512E8" w:rsidRPr="00B512E8" w:rsidRDefault="00B512E8" w:rsidP="00B512E8">
            <w:pPr>
              <w:suppressAutoHyphens/>
              <w:spacing w:after="120" w:line="276" w:lineRule="auto"/>
              <w:rPr>
                <w:rFonts w:ascii="Helvetica" w:eastAsia="Times New Roman" w:hAnsi="Helvetica"/>
                <w:color w:val="000000"/>
                <w:kern w:val="0"/>
                <w:sz w:val="20"/>
                <w:szCs w:val="20"/>
                <w:lang w:eastAsia="fr-FR"/>
                <w14:ligatures w14:val="none"/>
              </w:rPr>
            </w:pPr>
          </w:p>
        </w:tc>
        <w:tc>
          <w:tcPr>
            <w:tcW w:w="3161" w:type="dxa"/>
            <w:tcBorders>
              <w:top w:val="single" w:sz="4" w:space="0" w:color="auto"/>
              <w:left w:val="single" w:sz="4" w:space="0" w:color="auto"/>
              <w:bottom w:val="single" w:sz="4" w:space="0" w:color="auto"/>
              <w:right w:val="single" w:sz="4" w:space="0" w:color="auto"/>
            </w:tcBorders>
            <w:hideMark/>
          </w:tcPr>
          <w:p w14:paraId="3BF653DF" w14:textId="77777777" w:rsidR="00B512E8" w:rsidRPr="00B512E8" w:rsidRDefault="00B512E8" w:rsidP="00B512E8">
            <w:pPr>
              <w:jc w:val="both"/>
              <w:rPr>
                <w:rFonts w:ascii="Helvetica" w:eastAsia="Times New Roman" w:hAnsi="Helvetica"/>
                <w:color w:val="000000" w:themeColor="text1"/>
                <w:sz w:val="20"/>
                <w:szCs w:val="20"/>
              </w:rPr>
            </w:pPr>
            <w:r w:rsidRPr="00B512E8">
              <w:rPr>
                <w:rFonts w:ascii="Helvetica" w:eastAsia="Times New Roman" w:hAnsi="Helvetica"/>
                <w:color w:val="000000" w:themeColor="text1"/>
                <w:sz w:val="20"/>
                <w:szCs w:val="20"/>
              </w:rPr>
              <w:t>Conformément à l’article 3.2 du CCTP, en amont de l’émission d’un bon de commande, le besoin sera défini dans un cahier des charges sur la base duquel le prestataire remettra sa proposition technique (calendrier, méthodologie, etc.) et financière (nombre de j/H estimés). Celle-ci sera discutée avec la DAV, et si besoin, fera l’objet d’ajustements (calibrage du nombre de j/H, composition de l’équipe, etc.). Une fois la proposition définitive entérinée, l’UO idoine sera activée.</w:t>
            </w:r>
          </w:p>
        </w:tc>
      </w:tr>
    </w:tbl>
    <w:p w14:paraId="6AF69525" w14:textId="77777777" w:rsidR="00B512E8" w:rsidRDefault="00B512E8" w:rsidP="00B92DF4"/>
    <w:p w14:paraId="602C3536" w14:textId="77777777" w:rsidR="00B512E8" w:rsidRDefault="00B512E8" w:rsidP="00B92DF4"/>
    <w:p w14:paraId="3E3CA557" w14:textId="77777777" w:rsidR="00B512E8" w:rsidRDefault="00B512E8" w:rsidP="00B92DF4"/>
    <w:p w14:paraId="0963CE10" w14:textId="77777777" w:rsidR="00B512E8" w:rsidRDefault="00B512E8" w:rsidP="00B92DF4"/>
    <w:sectPr w:rsidR="00B512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CA102B"/>
    <w:multiLevelType w:val="hybridMultilevel"/>
    <w:tmpl w:val="F9BC65E8"/>
    <w:lvl w:ilvl="0" w:tplc="55E46F3E">
      <w:numFmt w:val="bullet"/>
      <w:lvlText w:val="-"/>
      <w:lvlJc w:val="left"/>
      <w:pPr>
        <w:ind w:left="720" w:hanging="360"/>
      </w:pPr>
      <w:rPr>
        <w:rFonts w:ascii="Aptos" w:eastAsia="Aptos" w:hAnsi="Apto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1178155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B0E"/>
    <w:rsid w:val="00014EBA"/>
    <w:rsid w:val="000539C9"/>
    <w:rsid w:val="00096997"/>
    <w:rsid w:val="000B32F0"/>
    <w:rsid w:val="001321A0"/>
    <w:rsid w:val="001B02E1"/>
    <w:rsid w:val="00222B37"/>
    <w:rsid w:val="00290B13"/>
    <w:rsid w:val="003E0046"/>
    <w:rsid w:val="003F2E0C"/>
    <w:rsid w:val="004A3959"/>
    <w:rsid w:val="004D5B1E"/>
    <w:rsid w:val="005021CB"/>
    <w:rsid w:val="00535B0E"/>
    <w:rsid w:val="00581471"/>
    <w:rsid w:val="00611EA3"/>
    <w:rsid w:val="006558D0"/>
    <w:rsid w:val="00667978"/>
    <w:rsid w:val="00682771"/>
    <w:rsid w:val="006B65BA"/>
    <w:rsid w:val="00742EFE"/>
    <w:rsid w:val="007D7530"/>
    <w:rsid w:val="008671DC"/>
    <w:rsid w:val="008901FA"/>
    <w:rsid w:val="00894966"/>
    <w:rsid w:val="00900842"/>
    <w:rsid w:val="009322B4"/>
    <w:rsid w:val="009329B3"/>
    <w:rsid w:val="009A7B5C"/>
    <w:rsid w:val="009F7134"/>
    <w:rsid w:val="00A46303"/>
    <w:rsid w:val="00A53C4D"/>
    <w:rsid w:val="00A82C96"/>
    <w:rsid w:val="00AC40BF"/>
    <w:rsid w:val="00B512E8"/>
    <w:rsid w:val="00B613DC"/>
    <w:rsid w:val="00B92DF4"/>
    <w:rsid w:val="00BC64EA"/>
    <w:rsid w:val="00BD315B"/>
    <w:rsid w:val="00BE53E1"/>
    <w:rsid w:val="00C2352A"/>
    <w:rsid w:val="00C6452D"/>
    <w:rsid w:val="00CC2BC7"/>
    <w:rsid w:val="00CC7D04"/>
    <w:rsid w:val="00CD26CC"/>
    <w:rsid w:val="00D404F2"/>
    <w:rsid w:val="00D41FC1"/>
    <w:rsid w:val="00D606AB"/>
    <w:rsid w:val="00D62A5C"/>
    <w:rsid w:val="00DF09BF"/>
    <w:rsid w:val="00E0579C"/>
    <w:rsid w:val="00E07F8D"/>
    <w:rsid w:val="00E32BCC"/>
    <w:rsid w:val="00E52442"/>
    <w:rsid w:val="00E5520A"/>
    <w:rsid w:val="00E55571"/>
    <w:rsid w:val="00F20EA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33D09"/>
  <w15:chartTrackingRefBased/>
  <w15:docId w15:val="{262D4BBA-0B2D-F84E-8BEF-40AD0C580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535B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535B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535B0E"/>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535B0E"/>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535B0E"/>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535B0E"/>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535B0E"/>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535B0E"/>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535B0E"/>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35B0E"/>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535B0E"/>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535B0E"/>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535B0E"/>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535B0E"/>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535B0E"/>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535B0E"/>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535B0E"/>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535B0E"/>
    <w:rPr>
      <w:rFonts w:eastAsiaTheme="majorEastAsia" w:cstheme="majorBidi"/>
      <w:color w:val="272727" w:themeColor="text1" w:themeTint="D8"/>
    </w:rPr>
  </w:style>
  <w:style w:type="paragraph" w:styleId="Titre">
    <w:name w:val="Title"/>
    <w:basedOn w:val="Normal"/>
    <w:next w:val="Normal"/>
    <w:link w:val="TitreCar"/>
    <w:uiPriority w:val="10"/>
    <w:qFormat/>
    <w:rsid w:val="00535B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35B0E"/>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535B0E"/>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535B0E"/>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535B0E"/>
    <w:pPr>
      <w:spacing w:before="160"/>
      <w:jc w:val="center"/>
    </w:pPr>
    <w:rPr>
      <w:i/>
      <w:iCs/>
      <w:color w:val="404040" w:themeColor="text1" w:themeTint="BF"/>
    </w:rPr>
  </w:style>
  <w:style w:type="character" w:customStyle="1" w:styleId="CitationCar">
    <w:name w:val="Citation Car"/>
    <w:basedOn w:val="Policepardfaut"/>
    <w:link w:val="Citation"/>
    <w:uiPriority w:val="29"/>
    <w:rsid w:val="00535B0E"/>
    <w:rPr>
      <w:i/>
      <w:iCs/>
      <w:color w:val="404040" w:themeColor="text1" w:themeTint="BF"/>
    </w:rPr>
  </w:style>
  <w:style w:type="paragraph" w:styleId="Paragraphedeliste">
    <w:name w:val="List Paragraph"/>
    <w:basedOn w:val="Normal"/>
    <w:uiPriority w:val="34"/>
    <w:qFormat/>
    <w:rsid w:val="00535B0E"/>
    <w:pPr>
      <w:ind w:left="720"/>
      <w:contextualSpacing/>
    </w:pPr>
  </w:style>
  <w:style w:type="character" w:styleId="Accentuationintense">
    <w:name w:val="Intense Emphasis"/>
    <w:basedOn w:val="Policepardfaut"/>
    <w:uiPriority w:val="21"/>
    <w:qFormat/>
    <w:rsid w:val="00535B0E"/>
    <w:rPr>
      <w:i/>
      <w:iCs/>
      <w:color w:val="0F4761" w:themeColor="accent1" w:themeShade="BF"/>
    </w:rPr>
  </w:style>
  <w:style w:type="paragraph" w:styleId="Citationintense">
    <w:name w:val="Intense Quote"/>
    <w:basedOn w:val="Normal"/>
    <w:next w:val="Normal"/>
    <w:link w:val="CitationintenseCar"/>
    <w:uiPriority w:val="30"/>
    <w:qFormat/>
    <w:rsid w:val="00535B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535B0E"/>
    <w:rPr>
      <w:i/>
      <w:iCs/>
      <w:color w:val="0F4761" w:themeColor="accent1" w:themeShade="BF"/>
    </w:rPr>
  </w:style>
  <w:style w:type="character" w:styleId="Rfrenceintense">
    <w:name w:val="Intense Reference"/>
    <w:basedOn w:val="Policepardfaut"/>
    <w:uiPriority w:val="32"/>
    <w:qFormat/>
    <w:rsid w:val="00535B0E"/>
    <w:rPr>
      <w:b/>
      <w:bCs/>
      <w:smallCaps/>
      <w:color w:val="0F4761" w:themeColor="accent1" w:themeShade="BF"/>
      <w:spacing w:val="5"/>
    </w:rPr>
  </w:style>
  <w:style w:type="table" w:styleId="Grilledutableau">
    <w:name w:val="Table Grid"/>
    <w:basedOn w:val="TableauNormal"/>
    <w:uiPriority w:val="39"/>
    <w:rsid w:val="00535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535B0E"/>
    <w:pPr>
      <w:spacing w:after="0" w:line="240" w:lineRule="auto"/>
    </w:pPr>
    <w:rPr>
      <w:rFonts w:ascii="Helvetica" w:eastAsia="Times New Roman" w:hAnsi="Helvetica" w:cs="Times New Roman"/>
      <w:color w:val="000000"/>
      <w:kern w:val="0"/>
      <w:sz w:val="17"/>
      <w:szCs w:val="17"/>
      <w:lang w:eastAsia="fr-FR"/>
      <w14:ligatures w14:val="none"/>
    </w:rPr>
  </w:style>
  <w:style w:type="character" w:customStyle="1" w:styleId="Aucun">
    <w:name w:val="Aucun"/>
    <w:rsid w:val="00D606AB"/>
  </w:style>
  <w:style w:type="paragraph" w:customStyle="1" w:styleId="CorpsA">
    <w:name w:val="Corps A"/>
    <w:rsid w:val="00D606AB"/>
    <w:pPr>
      <w:pBdr>
        <w:top w:val="nil"/>
        <w:left w:val="nil"/>
        <w:bottom w:val="nil"/>
        <w:right w:val="nil"/>
        <w:between w:val="nil"/>
        <w:bar w:val="nil"/>
      </w:pBdr>
      <w:spacing w:after="200" w:line="276" w:lineRule="auto"/>
    </w:pPr>
    <w:rPr>
      <w:rFonts w:ascii="Calibri" w:eastAsia="Calibri" w:hAnsi="Calibri" w:cs="Calibri"/>
      <w:color w:val="000000"/>
      <w:kern w:val="0"/>
      <w:sz w:val="22"/>
      <w:szCs w:val="22"/>
      <w:u w:color="000000"/>
      <w:bdr w:val="nil"/>
      <w:lang w:eastAsia="fr-FR"/>
      <w14:textOutline w14:w="12700" w14:cap="flat" w14:cmpd="sng" w14:algn="ctr">
        <w14:noFill/>
        <w14:prstDash w14:val="solid"/>
        <w14:miter w14:lim="400000"/>
      </w14:textOutline>
      <w14:ligatures w14:val="none"/>
    </w:rPr>
  </w:style>
  <w:style w:type="paragraph" w:styleId="Notedebasdepage">
    <w:name w:val="footnote text"/>
    <w:link w:val="NotedebasdepageCar"/>
    <w:rsid w:val="00D606AB"/>
    <w:pPr>
      <w:pBdr>
        <w:top w:val="nil"/>
        <w:left w:val="nil"/>
        <w:bottom w:val="nil"/>
        <w:right w:val="nil"/>
        <w:between w:val="nil"/>
        <w:bar w:val="nil"/>
      </w:pBdr>
      <w:spacing w:after="0" w:line="240" w:lineRule="auto"/>
    </w:pPr>
    <w:rPr>
      <w:rFonts w:ascii="Calibri" w:eastAsia="Calibri" w:hAnsi="Calibri" w:cs="Calibri"/>
      <w:color w:val="000000"/>
      <w:kern w:val="0"/>
      <w:sz w:val="20"/>
      <w:szCs w:val="20"/>
      <w:u w:color="000000"/>
      <w:bdr w:val="nil"/>
      <w:lang w:eastAsia="fr-FR"/>
      <w14:ligatures w14:val="none"/>
    </w:rPr>
  </w:style>
  <w:style w:type="character" w:customStyle="1" w:styleId="NotedebasdepageCar">
    <w:name w:val="Note de bas de page Car"/>
    <w:basedOn w:val="Policepardfaut"/>
    <w:link w:val="Notedebasdepage"/>
    <w:rsid w:val="00D606AB"/>
    <w:rPr>
      <w:rFonts w:ascii="Calibri" w:eastAsia="Calibri" w:hAnsi="Calibri" w:cs="Calibri"/>
      <w:color w:val="000000"/>
      <w:kern w:val="0"/>
      <w:sz w:val="20"/>
      <w:szCs w:val="20"/>
      <w:u w:color="000000"/>
      <w:bdr w:val="nil"/>
      <w:lang w:eastAsia="fr-FR"/>
      <w14:ligatures w14:val="none"/>
    </w:rPr>
  </w:style>
  <w:style w:type="table" w:customStyle="1" w:styleId="Grilledutableau1">
    <w:name w:val="Grille du tableau1"/>
    <w:basedOn w:val="TableauNormal"/>
    <w:next w:val="Grilledutableau"/>
    <w:uiPriority w:val="39"/>
    <w:rsid w:val="00B512E8"/>
    <w:pPr>
      <w:spacing w:after="0" w:line="240" w:lineRule="auto"/>
    </w:pPr>
    <w:rPr>
      <w:rFonts w:ascii="Aptos" w:eastAsia="Aptos"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28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1485</Words>
  <Characters>8168</Characters>
  <Application>Microsoft Office Word</Application>
  <DocSecurity>0</DocSecurity>
  <Lines>68</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TIKOUIRT ANAIS (CNAM / Paris)</cp:lastModifiedBy>
  <cp:revision>2</cp:revision>
  <dcterms:created xsi:type="dcterms:W3CDTF">2026-09-18T11:09:00Z</dcterms:created>
  <dcterms:modified xsi:type="dcterms:W3CDTF">2026-09-18T11:09:00Z</dcterms:modified>
</cp:coreProperties>
</file>