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ab/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tabs>
          <w:tab w:val="left" w:pos="3600"/>
        </w:tabs>
        <w:ind w:left="3600" w:hanging="3600"/>
        <w:rPr>
          <w:rFonts w:ascii="Marianne" w:hAnsi="Marianne"/>
          <w:sz w:val="20"/>
          <w:szCs w:val="18"/>
        </w:rPr>
      </w:pPr>
      <w:r>
        <w:rPr>
          <w:rFonts w:ascii="Marianne" w:hAnsi="Marianne" w:cs="Arial"/>
          <w:b/>
          <w:bCs/>
          <w:color w:val="000000"/>
          <w:sz w:val="20"/>
          <w:szCs w:val="18"/>
          <w:u w:val="single"/>
        </w:rPr>
        <w:t>Numéro de la consultation :</w:t>
      </w:r>
      <w:r>
        <w:rPr>
          <w:rFonts w:ascii="Marianne" w:hAnsi="Marianne" w:cs="Arial"/>
          <w:color w:val="4472C4" w:themeColor="accent1"/>
          <w:sz w:val="20"/>
          <w:szCs w:val="18"/>
        </w:rPr>
        <w:t> </w:t>
      </w:r>
      <w:r>
        <w:rPr>
          <w:rFonts w:ascii="Marianne" w:hAnsi="Marianne" w:cs="Arial"/>
          <w:sz w:val="20"/>
          <w:szCs w:val="18"/>
        </w:rPr>
        <w:t xml:space="preserve">AC_DAE_2026_PI-conception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Annexe n°4 au Règlement de Consultation - ORDRE DE PREFERENCE DES LOTS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widowControl w:val="0"/>
        <w:suppressAutoHyphens/>
        <w:spacing w:before="57"/>
        <w:jc w:val="both"/>
        <w:textAlignment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Pour les lots 3 et 4 et pour les lots 5 et 6 ; le soumissionnaire est invité à donner son ordre de préférence. Un même soumissionnaire ne pourra être attributaire que d’un seul lot parmi l’ensemble constitué par le lot 3 et le lot 4 et/ou d’un seul lot parmi l’ensemble constitué par le lot 5 et le lot 6. </w:t>
      </w:r>
    </w:p>
    <w:p>
      <w:pPr>
        <w:pStyle w:val="Standard"/>
        <w:rPr>
          <w:rFonts w:ascii="Marianne" w:eastAsiaTheme="minorHAnsi" w:hAnsi="Marianne" w:cstheme="minorBidi"/>
          <w:kern w:val="0"/>
          <w:sz w:val="20"/>
          <w:szCs w:val="20"/>
          <w:lang w:eastAsia="en-US"/>
        </w:rPr>
      </w:pPr>
      <w:r>
        <w:rPr>
          <w:rFonts w:ascii="Marianne" w:eastAsiaTheme="minorHAnsi" w:hAnsi="Marianne" w:cstheme="minorBidi"/>
          <w:kern w:val="0"/>
          <w:sz w:val="20"/>
          <w:szCs w:val="20"/>
          <w:lang w:eastAsia="en-US"/>
        </w:rPr>
        <w:t xml:space="preserve">Toutefois, l’acheteur se réserve la possibilité d’attribuer le lot 3 et le lot 4 ou bien le lot 5 et le lot 6 au même soumissionnaire dans le cas où le nombre d’attributaires pour le lot concerné ne serait pas atteint suivant l’article 4.2 du règlement de la consultation. </w:t>
      </w:r>
    </w:p>
    <w:p>
      <w:pPr>
        <w:widowControl w:val="0"/>
        <w:suppressAutoHyphens/>
        <w:spacing w:before="57"/>
        <w:textAlignment w:val="center"/>
        <w:rPr>
          <w:rFonts w:ascii="Marianne" w:hAnsi="Marianne"/>
          <w:sz w:val="20"/>
          <w:szCs w:val="20"/>
        </w:rPr>
      </w:pPr>
    </w:p>
    <w:p>
      <w:pPr>
        <w:widowControl w:val="0"/>
        <w:suppressAutoHyphens/>
        <w:spacing w:before="57"/>
        <w:textAlignment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soumissionnaires retenus suite à la phase candidature, et ayant postulé aux lots 3 et 4 ou aux lots 5 et 6, sont invités à remplir cette annexe. </w:t>
      </w:r>
    </w:p>
    <w:p>
      <w:pPr>
        <w:widowControl w:val="0"/>
        <w:suppressAutoHyphens/>
        <w:spacing w:before="57"/>
        <w:textAlignment w:val="center"/>
        <w:rPr>
          <w:rFonts w:ascii="Marianne" w:hAnsi="Marianne"/>
          <w:sz w:val="20"/>
          <w:szCs w:val="20"/>
        </w:rPr>
      </w:pPr>
    </w:p>
    <w:p>
      <w:pPr>
        <w:widowControl w:val="0"/>
        <w:suppressAutoHyphens/>
        <w:spacing w:before="57"/>
        <w:textAlignment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Cette annexe est remise au moment de la phase offre et est utilisée pour mettre en œuvre les incompatibilités entre lots. 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 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lastRenderedPageBreak/>
        <w:t>Soumissionnaire : ………………………………………………………</w:t>
      </w:r>
    </w:p>
    <w:p>
      <w:pPr>
        <w:pStyle w:val="Lgende"/>
        <w:keepNext/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EXEMPLE </w:t>
      </w: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SEQ Tableau \* ARABIC </w:instrText>
      </w:r>
      <w:r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1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: modèle d'ordre de préférence </w:t>
      </w:r>
    </w:p>
    <w:p>
      <w:pPr>
        <w:pStyle w:val="Lgende"/>
        <w:keepNext/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pour un soumissionnaire répondant aux 2 lots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969"/>
        <w:gridCol w:w="1698"/>
      </w:tblGrid>
      <w:tr>
        <w:trPr>
          <w:trHeight w:val="371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Numéro du Lot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Intitulé du lot</w:t>
            </w:r>
          </w:p>
        </w:tc>
        <w:tc>
          <w:tcPr>
            <w:tcW w:w="1698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Ordre de préférence</w:t>
            </w:r>
          </w:p>
        </w:tc>
      </w:tr>
      <w:tr>
        <w:trPr>
          <w:trHeight w:val="460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AMO Energétique 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&lt; 2 M€ HT et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≤ à 1)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2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AMO Energétique (Opérations &gt; à 2 M€ HT et Opérations &lt; 2M€ HT </w:t>
            </w:r>
            <w:proofErr w:type="gram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dont 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proofErr w:type="gram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&gt; à 1)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1</w:t>
            </w:r>
          </w:p>
        </w:tc>
      </w:tr>
    </w:tbl>
    <w:p>
      <w:pPr>
        <w:jc w:val="both"/>
        <w:rPr>
          <w:rFonts w:ascii="Marianne" w:hAnsi="Marianne"/>
          <w:b/>
          <w:bCs/>
          <w:sz w:val="16"/>
          <w:szCs w:val="16"/>
        </w:rPr>
      </w:pPr>
    </w:p>
    <w:p>
      <w:pPr>
        <w:pStyle w:val="Lgende"/>
        <w:keepNext/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EXEMPLE 2 : Modèle d'ordre de préférence pour un </w:t>
      </w:r>
    </w:p>
    <w:p>
      <w:pPr>
        <w:pStyle w:val="Lgende"/>
        <w:keepNext/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soumissionnaire répondant aux 2 lots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969"/>
        <w:gridCol w:w="1698"/>
      </w:tblGrid>
      <w:tr>
        <w:trPr>
          <w:trHeight w:val="458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Numéro du Lot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Intitulé du lot</w:t>
            </w:r>
          </w:p>
        </w:tc>
        <w:tc>
          <w:tcPr>
            <w:tcW w:w="1698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Ordre de préférence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Cs w:val="20"/>
                <w:shd w:val="clear" w:color="auto" w:fill="FFFFFF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Maitrise d'Œuvre (MOE) 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&lt; 2 M€ HT et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≤ à 1)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2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Cs w:val="20"/>
                <w:shd w:val="clear" w:color="auto" w:fill="FFFFFF"/>
              </w:rPr>
              <w:t>6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Maitrise d'Œuvre (MOE) 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&gt; 2 M€ HT et Opérations &lt; 2 M€ HT dont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&gt; à 1)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1</w:t>
            </w:r>
          </w:p>
        </w:tc>
      </w:tr>
    </w:tbl>
    <w:p>
      <w:pPr>
        <w:pStyle w:val="Lgende"/>
        <w:keepNext/>
        <w:jc w:val="center"/>
        <w:rPr>
          <w:sz w:val="36"/>
          <w:szCs w:val="36"/>
        </w:rPr>
      </w:pPr>
    </w:p>
    <w:p/>
    <w:p>
      <w:pPr>
        <w:pStyle w:val="Lgende"/>
        <w:keepNext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Tableau d’ordre de préférence </w:t>
      </w:r>
    </w:p>
    <w:p>
      <w:pPr>
        <w:pStyle w:val="Lgende"/>
        <w:keepNext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SUPPRIMER LE CHIFFRE « 1 » OU « 2 », EN FONCTION DE VOTRE ORDRE DE PREFERENCE </w:t>
      </w:r>
    </w:p>
    <w:p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2123"/>
      </w:tblGrid>
      <w:tr>
        <w:trPr>
          <w:trHeight w:val="458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Numéro du Lot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Intitulé du lot</w:t>
            </w:r>
          </w:p>
        </w:tc>
        <w:tc>
          <w:tcPr>
            <w:tcW w:w="2123" w:type="dxa"/>
            <w:shd w:val="clear" w:color="auto" w:fill="BFBFBF" w:themeFill="background1" w:themeFillShade="BF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Ordre de préférence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color w:val="FF0000"/>
              </w:rPr>
              <w:t xml:space="preserve">Supprimer le chiffre 1 ou 2 </w:t>
            </w:r>
          </w:p>
        </w:tc>
      </w:tr>
      <w:tr>
        <w:trPr>
          <w:trHeight w:val="428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AMO Energétique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&lt; 2 M€ HT et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≤ à 1)</w:t>
            </w:r>
          </w:p>
        </w:tc>
        <w:tc>
          <w:tcPr>
            <w:tcW w:w="2123" w:type="dxa"/>
            <w:shd w:val="clear" w:color="auto" w:fill="C5E0B3" w:themeFill="accent6" w:themeFillTint="6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1 ou 2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4" w:type="dxa"/>
            <w:vAlign w:val="center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AMO Energétique (</w:t>
            </w:r>
            <w:proofErr w:type="gram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Opérations  &gt;</w:t>
            </w:r>
            <w:proofErr w:type="gram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 à 2 M€ HT et Opérations &lt; 2M€ HT dont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&gt; à 1)</w:t>
            </w:r>
          </w:p>
        </w:tc>
        <w:tc>
          <w:tcPr>
            <w:tcW w:w="2123" w:type="dxa"/>
            <w:shd w:val="clear" w:color="auto" w:fill="C5E0B3" w:themeFill="accent6" w:themeFillTint="6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1 ou 2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2123"/>
      </w:tblGrid>
      <w:tr>
        <w:trPr>
          <w:trHeight w:val="458"/>
          <w:jc w:val="center"/>
        </w:trPr>
        <w:tc>
          <w:tcPr>
            <w:tcW w:w="112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lastRenderedPageBreak/>
              <w:t>Numéro du Lot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Intitulé du lot</w:t>
            </w:r>
          </w:p>
        </w:tc>
        <w:tc>
          <w:tcPr>
            <w:tcW w:w="212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Ordre de préférence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color w:val="FF0000"/>
              </w:rPr>
              <w:t>Supprimer le chiffre 1 ou 2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Cs w:val="20"/>
                <w:shd w:val="clear" w:color="auto" w:fill="FFFFFF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Maitrise d'Œuvre (MOE)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&lt; 2 M€ HT et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≤ à 1)</w:t>
            </w:r>
          </w:p>
        </w:tc>
        <w:tc>
          <w:tcPr>
            <w:tcW w:w="2123" w:type="dxa"/>
            <w:shd w:val="clear" w:color="auto" w:fill="C5E0B3" w:themeFill="accent6" w:themeFillTint="6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1 ou 2 </w:t>
            </w:r>
          </w:p>
        </w:tc>
      </w:tr>
      <w:tr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eastAsia="Arial" w:hAnsi="Marianne" w:cs="Arial"/>
                <w:b/>
                <w:bCs/>
                <w:color w:val="000000"/>
                <w:szCs w:val="20"/>
                <w:shd w:val="clear" w:color="auto" w:fill="FFFFFF"/>
              </w:rPr>
              <w:t>6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Maitrise d'Œuvre (MOE) </w:t>
            </w:r>
          </w:p>
          <w:p>
            <w:pPr>
              <w:jc w:val="both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 xml:space="preserve">(Opérations &gt; 2 M€ HT et Opérations &lt; 2 M€ HT dont </w:t>
            </w:r>
            <w:proofErr w:type="spellStart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coeff</w:t>
            </w:r>
            <w:proofErr w:type="spellEnd"/>
            <w:r>
              <w:rPr>
                <w:rFonts w:ascii="Marianne" w:eastAsia="Arial" w:hAnsi="Marianne" w:cs="Arial"/>
                <w:color w:val="000000"/>
                <w:szCs w:val="20"/>
                <w:shd w:val="clear" w:color="auto" w:fill="FFFFFF"/>
              </w:rPr>
              <w:t>. complexité &gt; à 1)</w:t>
            </w:r>
          </w:p>
        </w:tc>
        <w:tc>
          <w:tcPr>
            <w:tcW w:w="2123" w:type="dxa"/>
            <w:shd w:val="clear" w:color="auto" w:fill="C5E0B3" w:themeFill="accent6" w:themeFillTint="6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1 ou 2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sectPr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A4EEE"/>
    <w:multiLevelType w:val="hybridMultilevel"/>
    <w:tmpl w:val="BB2ADAAC"/>
    <w:lvl w:ilvl="0" w:tplc="7780F0A6">
      <w:start w:val="75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customStyle="1" w:styleId="Standard">
    <w:name w:val="Standard"/>
    <w:link w:val="StandardCar"/>
    <w:qFormat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andardCar">
    <w:name w:val="Standard Car"/>
    <w:basedOn w:val="Policepardfaut"/>
    <w:link w:val="Standard"/>
    <w:qFormat/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9B972-3E3E-4119-BAF4-B57E47F1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2</cp:revision>
  <dcterms:created xsi:type="dcterms:W3CDTF">2026-03-31T13:40:00Z</dcterms:created>
  <dcterms:modified xsi:type="dcterms:W3CDTF">2026-03-31T13:40:00Z</dcterms:modified>
</cp:coreProperties>
</file>