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fr-FR" w:eastAsia="zh-CN" w:bidi="hi-IN"/>
        </w:rPr>
      </w:pPr>
      <w:r>
        <w:rPr>
          <w:b/>
          <w:bCs/>
          <w:sz w:val="32"/>
          <w:szCs w:val="32"/>
          <w:lang w:val="fr-FR" w:eastAsia="zh-CN" w:bidi="hi-IN"/>
        </w:rPr>
        <w:t>QUESTIONS-RÉPONSES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Direction des Finances Publiques de la Réunion</w:t>
      </w:r>
    </w:p>
    <w:p>
      <w:pPr>
        <w:pStyle w:val="Standard"/>
        <w:widowControl w:val="false"/>
        <w:ind w:left="567" w:right="497" w:hanging="0"/>
        <w:jc w:val="center"/>
        <w:rPr/>
      </w:pPr>
      <w:r>
        <w:rPr/>
        <w:t>Marché de travaux pour l’amélioration du bâtiment situé au 29, rue Amiral Lacaze</w:t>
      </w:r>
    </w:p>
    <w:p>
      <w:pPr>
        <w:pStyle w:val="Standard"/>
        <w:widowControl w:val="false"/>
        <w:snapToGrid w:val="false"/>
        <w:ind w:left="567" w:right="497" w:hanging="0"/>
        <w:jc w:val="center"/>
        <w:rPr>
          <w:b w:val="false"/>
          <w:b w:val="false"/>
          <w:bCs w:val="false"/>
          <w:sz w:val="24"/>
          <w:szCs w:val="24"/>
        </w:rPr>
      </w:pPr>
      <w:bookmarkStart w:id="0" w:name="R0_p5_a"/>
      <w:r>
        <w:rPr>
          <w:b w:val="false"/>
          <w:bCs w:val="false"/>
          <w:kern w:val="2"/>
          <w:sz w:val="24"/>
          <w:szCs w:val="24"/>
        </w:rPr>
        <w:t>à</w:t>
      </w:r>
      <w:bookmarkEnd w:id="0"/>
      <w:r>
        <w:rPr>
          <w:b w:val="false"/>
          <w:bCs w:val="false"/>
          <w:kern w:val="2"/>
          <w:sz w:val="24"/>
          <w:szCs w:val="24"/>
        </w:rPr>
        <w:t xml:space="preserve"> Saint-Denis de la Réunion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Consultation Travaux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pBdr>
          <w:bottom w:val="single" w:sz="8" w:space="2" w:color="000000"/>
        </w:pBdr>
        <w:jc w:val="right"/>
        <w:rPr/>
      </w:pPr>
      <w:r>
        <w:rPr>
          <w:b/>
          <w:bCs/>
          <w:color w:val="00A933"/>
        </w:rPr>
        <w:t xml:space="preserve">à jour le </w:t>
      </w:r>
      <w:r>
        <w:rPr>
          <w:b/>
          <w:bCs/>
          <w:color w:val="00A933"/>
        </w:rPr>
        <w:t>04</w:t>
      </w:r>
      <w:r>
        <w:rPr>
          <w:b/>
          <w:bCs/>
          <w:color w:val="00A933"/>
        </w:rPr>
        <w:t>/06/2026</w:t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ascii="Wingdings" w:hAnsi="Wingdings" w:eastAsia="Wingdings" w:cs="Wingdings"/>
          <w:b/>
          <w:b/>
          <w:bCs/>
          <w:sz w:val="20"/>
          <w:szCs w:val="20"/>
        </w:rPr>
      </w:pPr>
      <w:r>
        <w:rPr>
          <w:rFonts w:eastAsia="Wingdings" w:cs="Wingdings" w:ascii="Wingdings" w:hAnsi="Wingdings"/>
          <w:b/>
          <w:bCs/>
          <w:sz w:val="20"/>
          <w:szCs w:val="20"/>
        </w:rPr>
      </w:r>
    </w:p>
    <w:p>
      <w:pPr>
        <w:pStyle w:val="Normal"/>
        <w:jc w:val="left"/>
        <w:rPr>
          <w:rFonts w:ascii="Wingdings" w:hAnsi="Wingdings" w:eastAsia="Wingdings" w:cs="Wingdings"/>
          <w:b/>
          <w:b/>
          <w:bCs/>
          <w:sz w:val="24"/>
          <w:szCs w:val="24"/>
        </w:rPr>
      </w:pPr>
      <w:r>
        <w:rPr>
          <w:rFonts w:eastAsia="Wingdings" w:cs="Wingdings" w:ascii="Wingdings" w:hAnsi="Wingdings"/>
          <w:b/>
          <w:bCs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eastAsia="Wingdings" w:cs="Wingdings" w:ascii="Liberation Serif" w:hAnsi="Liberation Serif"/>
          <w:b/>
          <w:bCs/>
          <w:sz w:val="24"/>
          <w:szCs w:val="24"/>
        </w:rPr>
        <w:t xml:space="preserve">1. Bonjour, on souhaiterait savoir si une visite est prévue dans le cadre de cet AO dans l'attente de vous lire cordialement </w:t>
      </w:r>
    </w:p>
    <w:p>
      <w:pPr>
        <w:pStyle w:val="Normal"/>
        <w:jc w:val="both"/>
        <w:rPr/>
      </w:pPr>
      <w:r>
        <w:rPr>
          <w:rFonts w:ascii="Liberation Serif" w:hAnsi="Liberation Serif"/>
          <w:b/>
          <w:bCs/>
          <w:color w:val="00A933"/>
          <w:sz w:val="24"/>
          <w:szCs w:val="24"/>
          <w:u w:val="none"/>
        </w:rPr>
        <w:t>Une seule visite sera programmée le vendredi 05 juin 2026. Le rdv est donné à 14h00 sur site. Pour rappel: les questions devront être posées via « PLACE » (</w:t>
      </w:r>
      <w:hyperlink r:id="rId2">
        <w:r>
          <w:rPr>
            <w:rStyle w:val="LienInternet"/>
            <w:rFonts w:ascii="Liberation Serif" w:hAnsi="Liberation Serif"/>
            <w:b/>
            <w:bCs/>
            <w:color w:val="00A933"/>
            <w:sz w:val="24"/>
            <w:szCs w:val="24"/>
            <w:u w:val="none"/>
          </w:rPr>
          <w:t>https://www.marches-publics.gouv.fr</w:t>
        </w:r>
      </w:hyperlink>
      <w:r>
        <w:rPr>
          <w:rFonts w:ascii="Liberation Serif" w:hAnsi="Liberation Serif"/>
          <w:b/>
          <w:bCs/>
          <w:color w:val="00A933"/>
          <w:sz w:val="24"/>
          <w:szCs w:val="24"/>
          <w:u w:val="none"/>
        </w:rPr>
        <w:t>).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color w:val="00A933"/>
          <w:sz w:val="24"/>
          <w:szCs w:val="24"/>
          <w:u w:val="none"/>
        </w:rPr>
        <w:t>Cette visite n’a pas de caractère obligatoire et aucun point n’est affecté directement dans la notation pour cela.</w:t>
      </w:r>
    </w:p>
    <w:p>
      <w:pPr>
        <w:pStyle w:val="Normal"/>
        <w:jc w:val="both"/>
        <w:rPr>
          <w:rFonts w:ascii="Liberation Serif" w:hAnsi="Liberation Serif"/>
          <w:b/>
          <w:b/>
          <w:bCs/>
          <w:color w:val="00A933"/>
          <w:sz w:val="24"/>
          <w:szCs w:val="24"/>
        </w:rPr>
      </w:pPr>
      <w:r>
        <w:rPr>
          <w:rFonts w:ascii="Liberation Serif" w:hAnsi="Liberation Serif"/>
          <w:b/>
          <w:bCs/>
          <w:color w:val="00A933"/>
          <w:sz w:val="24"/>
          <w:szCs w:val="24"/>
        </w:rPr>
      </w:r>
    </w:p>
    <w:p>
      <w:pPr>
        <w:pStyle w:val="Normal"/>
        <w:jc w:val="left"/>
        <w:rPr>
          <w:rFonts w:ascii="Liberation Serif" w:hAnsi="Liberation Serif"/>
          <w:b/>
          <w:b/>
          <w:bCs/>
          <w:color w:val="FF0000"/>
          <w:sz w:val="24"/>
          <w:szCs w:val="24"/>
        </w:rPr>
      </w:pPr>
      <w:r>
        <w:rPr>
          <w:rFonts w:ascii="Liberation Serif" w:hAnsi="Liberation Serif"/>
          <w:b/>
          <w:bCs/>
          <w:color w:val="FF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eastAsia="Wingdings" w:cs="Wingdings" w:ascii="Liberation Serif" w:hAnsi="Liberation Serif"/>
          <w:b/>
          <w:bCs/>
          <w:color w:val="auto"/>
          <w:kern w:val="2"/>
          <w:sz w:val="24"/>
          <w:szCs w:val="24"/>
          <w:lang w:val="fr-FR" w:eastAsia="zh-CN" w:bidi="hi-IN"/>
        </w:rPr>
        <w:t xml:space="preserve">2. 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i w:val="false"/>
          <w:iCs w:val="false"/>
          <w:sz w:val="24"/>
          <w:szCs w:val="24"/>
        </w:rPr>
        <w:t xml:space="preserve">Art. 3.6.2 : pourriez-vous nous préciser l'essence de bois à chiffrer ? Cela peut avoir un fort impact financier. </w:t>
      </w:r>
      <w:r>
        <w:rPr>
          <w:rFonts w:eastAsia="Wingdings" w:cs="Wingdings" w:ascii="Liberation Serif" w:hAnsi="Liberation Serif"/>
          <w:b/>
          <w:bCs/>
          <w:color w:val="000000"/>
          <w:sz w:val="24"/>
          <w:szCs w:val="24"/>
        </w:rPr>
        <w:br/>
      </w:r>
      <w:r>
        <w:rPr>
          <w:rFonts w:ascii="Liberation Serif" w:hAnsi="Liberation Serif"/>
          <w:b/>
          <w:bCs/>
          <w:color w:val="00A933"/>
          <w:sz w:val="24"/>
          <w:szCs w:val="24"/>
        </w:rPr>
        <w:t xml:space="preserve">L'essence de bois exotique est laissée au choix de l'entreprise. Celle-ci devra être conforme à la réglementation en vigueur ainsi qu'aux exigences de performance, de durabilité, de section et de mise en œuvre définies dans le CCTP. </w:t>
      </w:r>
    </w:p>
    <w:p>
      <w:pPr>
        <w:pStyle w:val="Normal"/>
        <w:spacing w:lineRule="auto" w:line="240"/>
        <w:jc w:val="left"/>
        <w:rPr>
          <w:rFonts w:ascii="Liberation Serif" w:hAnsi="Liberation Serif"/>
          <w:b/>
          <w:b/>
          <w:bCs/>
          <w:color w:val="000000"/>
          <w:sz w:val="24"/>
          <w:szCs w:val="24"/>
        </w:rPr>
      </w:pPr>
      <w:r>
        <w:rPr>
          <w:rFonts w:ascii="Liberation Serif" w:hAnsi="Liberation Serif"/>
          <w:b/>
          <w:bCs/>
          <w:color w:val="000000"/>
          <w:sz w:val="24"/>
          <w:szCs w:val="24"/>
        </w:rPr>
      </w:r>
    </w:p>
    <w:p>
      <w:pPr>
        <w:pStyle w:val="Normal"/>
        <w:jc w:val="left"/>
        <w:rPr>
          <w:rFonts w:ascii="Liberation Serif" w:hAnsi="Liberation Serif"/>
          <w:b/>
          <w:b/>
          <w:bCs/>
          <w:i/>
          <w:i/>
          <w:iCs/>
          <w:color w:val="FF0000"/>
          <w:sz w:val="24"/>
          <w:szCs w:val="24"/>
          <w:u w:val="single"/>
        </w:rPr>
      </w:pPr>
      <w:r>
        <w:rPr>
          <w:rFonts w:ascii="Liberation Serif" w:hAnsi="Liberation Serif"/>
          <w:b/>
          <w:bCs/>
          <w:i/>
          <w:iCs/>
          <w:color w:val="FF0000"/>
          <w:sz w:val="24"/>
          <w:szCs w:val="24"/>
          <w:u w:val="single"/>
        </w:rPr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eastAsia="Wingdings" w:cs="Wingdings" w:ascii="Liberation Serif" w:hAnsi="Liberation Serif"/>
          <w:b/>
          <w:bCs/>
          <w:sz w:val="24"/>
          <w:szCs w:val="24"/>
        </w:rPr>
        <w:t xml:space="preserve">3. 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b/>
          <w:i w:val="false"/>
          <w:iCs w:val="false"/>
          <w:sz w:val="24"/>
          <w:szCs w:val="24"/>
        </w:rPr>
        <w:t xml:space="preserve">Concernant le système de fixation, il est demandé soit des fixations inox apparentes, soit des fixations invisibles. Quelle solution souhaitez-vous retenir ? L'impact financier entre les deux solutions peut être significatif. </w:t>
      </w:r>
      <w:r>
        <w:rPr>
          <w:rFonts w:eastAsia="Wingdings" w:cs="Wingdings" w:ascii="Liberation Serif" w:hAnsi="Liberation Serif"/>
          <w:b/>
          <w:bCs/>
          <w:color w:val="000000"/>
          <w:sz w:val="24"/>
          <w:szCs w:val="24"/>
        </w:rPr>
        <w:br/>
      </w:r>
      <w:r>
        <w:rPr>
          <w:rFonts w:ascii="Liberation Serif" w:hAnsi="Liberation Serif"/>
          <w:b/>
          <w:bCs/>
          <w:color w:val="00A933"/>
          <w:sz w:val="24"/>
          <w:szCs w:val="24"/>
        </w:rPr>
        <w:t>Le système de fixation est laissé au choix de l'entreprise. La solution proposée devra être conforme à la réglementation en vigueur et être compatible avec l'ouvrage projeté en garantissant la pérennité, la sécurité et la qualité esthétique de l'ensemble.</w:t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Liberation Serif" w:hAnsi="Liberation Serif"/>
          <w:b/>
          <w:b/>
          <w:bCs/>
          <w:i/>
          <w:i/>
          <w:iCs/>
          <w:color w:val="FF0000"/>
          <w:sz w:val="24"/>
          <w:szCs w:val="24"/>
        </w:rPr>
      </w:pPr>
      <w:r>
        <w:rPr>
          <w:rFonts w:ascii="Liberation Serif" w:hAnsi="Liberation Serif"/>
          <w:b/>
          <w:bCs/>
          <w:i/>
          <w:iCs/>
          <w:color w:val="FF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eastAsia="Wingdings" w:cs="Wingdings" w:ascii="Liberation Serif" w:hAnsi="Liberation Serif"/>
          <w:b/>
          <w:bCs/>
          <w:color w:val="auto"/>
          <w:sz w:val="24"/>
          <w:szCs w:val="24"/>
        </w:rPr>
        <w:t xml:space="preserve">4. </w:t>
      </w:r>
      <w:r>
        <w:rPr>
          <w:rFonts w:ascii="Liberation Serif" w:hAnsi="Liberation Serif"/>
          <w:b/>
          <w:bCs/>
          <w:i w:val="false"/>
          <w:iCs w:val="false"/>
          <w:sz w:val="24"/>
          <w:szCs w:val="24"/>
        </w:rPr>
        <w:t xml:space="preserve"> Combien de trappe souhaitez-vous ? Et à quelles dimensions ?</w:t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color w:val="00A933"/>
          <w:sz w:val="24"/>
          <w:szCs w:val="24"/>
        </w:rPr>
        <w:t>Trois trappes, de dimension 40x40cm devront être prévues : Deux trappes pour la visite et l'entretien des regards EP ; Une trappe pour la visite et l'entretien du regard EU.</w:t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Liberation Serif" w:hAnsi="Liberation Serif"/>
          <w:b/>
          <w:b/>
          <w:bCs/>
          <w:i/>
          <w:i/>
          <w:iCs/>
          <w:color w:val="FF0000"/>
          <w:sz w:val="24"/>
          <w:szCs w:val="24"/>
        </w:rPr>
      </w:pPr>
      <w:r>
        <w:rPr>
          <w:rFonts w:ascii="Liberation Serif" w:hAnsi="Liberation Serif"/>
          <w:b/>
          <w:bCs/>
          <w:i/>
          <w:iCs/>
          <w:color w:val="FF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eastAsia="Wingdings" w:cs="Wingdings" w:ascii="Liberation Serif" w:hAnsi="Liberation Serif"/>
          <w:b/>
          <w:bCs/>
          <w:color w:val="auto"/>
          <w:sz w:val="24"/>
          <w:szCs w:val="24"/>
        </w:rPr>
        <w:t xml:space="preserve">5. 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b/>
          <w:i w:val="false"/>
          <w:iCs w:val="false"/>
          <w:sz w:val="24"/>
          <w:szCs w:val="24"/>
        </w:rPr>
        <w:t>Art. 3.7.1, il est mentionné plaque OSE, est-ce une coquille et il s’agit de plaque OSB ?</w:t>
      </w:r>
    </w:p>
    <w:p>
      <w:pPr>
        <w:pStyle w:val="Normal"/>
        <w:spacing w:lineRule="auto" w:line="240"/>
        <w:jc w:val="left"/>
        <w:rPr>
          <w:rFonts w:ascii="Liberation Serif" w:hAnsi="Liberation Serif"/>
          <w:b/>
          <w:b/>
          <w:bCs/>
          <w:color w:val="00A933"/>
          <w:sz w:val="24"/>
          <w:szCs w:val="24"/>
        </w:rPr>
      </w:pPr>
      <w:r>
        <w:rPr>
          <w:rFonts w:ascii="Liberation Serif" w:hAnsi="Liberation Serif"/>
          <w:b/>
          <w:bCs/>
          <w:color w:val="00A933"/>
          <w:sz w:val="24"/>
          <w:szCs w:val="24"/>
        </w:rPr>
        <w:t xml:space="preserve">Il s'agit effectivement d'une erreur. Il convient de lire : « fourniture et pose d'un plancher en plaques OSB de 27 mm d'épaisseur ». </w:t>
      </w:r>
    </w:p>
    <w:p>
      <w:pPr>
        <w:pStyle w:val="Normal"/>
        <w:spacing w:lineRule="auto" w:line="240"/>
        <w:jc w:val="left"/>
        <w:rPr>
          <w:rFonts w:ascii="Liberation Serif" w:hAnsi="Liberation Serif"/>
          <w:sz w:val="24"/>
          <w:szCs w:val="24"/>
        </w:rPr>
      </w:pPr>
      <w:r>
        <w:rPr>
          <w:rFonts w:eastAsia="Wingdings" w:cs="Wingdings" w:ascii="Liberation Serif" w:hAnsi="Liberation Serif"/>
          <w:b/>
          <w:bCs/>
          <w:color w:val="00A933"/>
          <w:sz w:val="24"/>
          <w:szCs w:val="24"/>
        </w:rPr>
        <w:t xml:space="preserve"> </w:t>
      </w:r>
    </w:p>
    <w:p>
      <w:pPr>
        <w:pStyle w:val="Normal"/>
        <w:spacing w:lineRule="auto" w:line="240"/>
        <w:jc w:val="left"/>
        <w:rPr>
          <w:rFonts w:ascii="Liberation Serif" w:hAnsi="Liberation Serif"/>
          <w:b/>
          <w:b/>
          <w:bCs/>
          <w:i/>
          <w:i/>
          <w:iCs/>
          <w:color w:val="FF0000"/>
          <w:sz w:val="24"/>
          <w:szCs w:val="24"/>
        </w:rPr>
      </w:pPr>
      <w:r>
        <w:rPr>
          <w:rFonts w:ascii="Liberation Serif" w:hAnsi="Liberation Serif"/>
          <w:b/>
          <w:bCs/>
          <w:i/>
          <w:iCs/>
          <w:color w:val="FF0000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Liberation Serif" w:hAnsi="Liberation Serif"/>
          <w:b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>6.  Au vu de la complexité du projet, est-il envisageable d’avoir un report de date de deux semaines afin de pouvoir au mieux appréhender le projet ?</w:t>
      </w:r>
    </w:p>
    <w:p>
      <w:pPr>
        <w:pStyle w:val="Normal"/>
        <w:spacing w:lineRule="auto" w:line="240"/>
        <w:jc w:val="left"/>
        <w:rPr>
          <w:rFonts w:ascii="Liberation Serif" w:hAnsi="Liberation Serif"/>
          <w:b/>
          <w:b/>
          <w:bCs/>
          <w:color w:val="00A933"/>
          <w:sz w:val="24"/>
          <w:szCs w:val="24"/>
        </w:rPr>
      </w:pPr>
      <w:r>
        <w:rPr>
          <w:rFonts w:ascii="Liberation Serif" w:hAnsi="Liberation Serif"/>
          <w:b/>
          <w:bCs/>
          <w:color w:val="00A933"/>
          <w:sz w:val="24"/>
          <w:szCs w:val="24"/>
        </w:rPr>
        <w:t>Le MOA décide de reporter au lundi 06 juillet 2026 à 12h00 heure de la Réunion (974) la date de remise des offres prévue dans le cadre de cette consultation.</w:t>
      </w:r>
    </w:p>
    <w:sectPr>
      <w:type w:val="nextPage"/>
      <w:pgSz w:w="11906" w:h="16838"/>
      <w:pgMar w:left="1134" w:right="1134" w:gutter="0" w:header="0" w:top="850" w:footer="0" w:bottom="85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ptos">
    <w:charset w:val="00"/>
    <w:family w:val="roman"/>
    <w:pitch w:val="variable"/>
  </w:font>
  <w:font w:name="Wingdings">
    <w:charset w:val="00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fr-F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enInternet" w:customStyle="1">
    <w:name w:val="Lien Internet"/>
    <w:rPr>
      <w:color w:val="000080"/>
      <w:u w:val="single"/>
    </w:rPr>
  </w:style>
  <w:style w:type="character" w:styleId="Policepardfaut">
    <w:name w:val="Police par défaut"/>
    <w:qFormat/>
    <w:rPr/>
  </w:style>
  <w:style w:type="character" w:styleId="Numrotationdelignes">
    <w:name w:val="Numérotation de lignes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/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/>
  </w:style>
  <w:style w:type="paragraph" w:styleId="Titreprincipal">
    <w:name w:val="Titl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both"/>
      <w:textAlignment w:val="baseline"/>
    </w:pPr>
    <w:rPr>
      <w:rFonts w:ascii="Times New Roman" w:hAnsi="Times New Roman" w:eastAsia="Arial Unicode MS" w:cs="Tahoma"/>
      <w:color w:val="auto"/>
      <w:kern w:val="2"/>
      <w:sz w:val="24"/>
      <w:szCs w:val="24"/>
      <w:lang w:val="fr-FR" w:eastAsia="fr-FR" w:bidi="ar-SA"/>
    </w:rPr>
  </w:style>
  <w:style w:type="paragraph" w:styleId="Default">
    <w:name w:val="Default"/>
    <w:qFormat/>
    <w:pPr>
      <w:widowControl/>
      <w:bidi w:val="0"/>
      <w:spacing w:before="0" w:after="0"/>
      <w:jc w:val="left"/>
    </w:pPr>
    <w:rPr>
      <w:rFonts w:ascii="Aptos" w:hAnsi="Aptos" w:eastAsia="NSimSun" w:cs="Arial"/>
      <w:color w:val="000000"/>
      <w:kern w:val="2"/>
      <w:sz w:val="24"/>
      <w:szCs w:val="24"/>
      <w:lang w:val="fr-F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marches-publics.gouv.fr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Application>LibreOffice/7.2.7.2.M7$Windows_X86_64 LibreOffice_project/eae1a20eee24d7fbeb19ff1fe91a658206f3f25b</Application>
  <AppVersion>15.0000</AppVersion>
  <Pages>1</Pages>
  <Words>370</Words>
  <Characters>1888</Characters>
  <CharactersWithSpaces>2252</CharactersWithSpaces>
  <Paragraphs>18</Paragraphs>
  <Company>Ministère de la Culture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2026-06-03T10:33:00Z</dcterms:created>
  <dc:creator>Eva MONCLAIRE</dc:creator>
  <dc:description/>
  <dc:language>fr-FR</dc:language>
  <cp:lastModifiedBy/>
  <dcterms:modified xsi:type="dcterms:W3CDTF">2026-06-04T14:27:26Z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