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51DF6" w14:textId="1A6AC14D" w:rsidR="00D33684" w:rsidRPr="0074242A" w:rsidRDefault="00FC38C9" w:rsidP="0074242A">
      <w:pPr>
        <w:jc w:val="center"/>
        <w:rPr>
          <w:b/>
          <w:bCs/>
          <w:u w:val="single"/>
        </w:rPr>
      </w:pPr>
      <w:r>
        <w:rPr>
          <w:b/>
          <w:bCs/>
          <w:u w:val="single"/>
        </w:rPr>
        <w:t>Question / Réponse</w:t>
      </w:r>
      <w:r w:rsidR="0074242A" w:rsidRPr="0074242A">
        <w:rPr>
          <w:b/>
          <w:bCs/>
          <w:u w:val="single"/>
        </w:rPr>
        <w:t xml:space="preserve"> </w:t>
      </w:r>
      <w:r>
        <w:rPr>
          <w:b/>
          <w:bCs/>
          <w:u w:val="single"/>
        </w:rPr>
        <w:t>DUG 26</w:t>
      </w:r>
      <w:r w:rsidR="0074242A" w:rsidRPr="0074242A">
        <w:rPr>
          <w:b/>
          <w:bCs/>
          <w:u w:val="single"/>
        </w:rPr>
        <w:t> :</w:t>
      </w:r>
    </w:p>
    <w:p w14:paraId="58EE5418" w14:textId="4A1CF85B" w:rsidR="0074242A" w:rsidRDefault="0074242A"/>
    <w:p w14:paraId="24624943" w14:textId="031CEE9E" w:rsidR="0074242A" w:rsidRPr="00F30864" w:rsidRDefault="00FC38C9">
      <w:pPr>
        <w:rPr>
          <w:b/>
          <w:bCs/>
          <w:u w:val="single"/>
        </w:rPr>
      </w:pPr>
      <w:r w:rsidRPr="00F30864">
        <w:rPr>
          <w:b/>
          <w:bCs/>
          <w:u w:val="single"/>
        </w:rPr>
        <w:t>1 : Est-il possible d’accorder un délai supplémentaire ?</w:t>
      </w:r>
    </w:p>
    <w:p w14:paraId="07FACA71" w14:textId="21B99FA5" w:rsidR="00FC38C9" w:rsidRDefault="00FC38C9">
      <w:r>
        <w:sym w:font="Wingdings" w:char="F0E0"/>
      </w:r>
      <w:r>
        <w:t xml:space="preserve"> Non, nous ne pouvons pas accorder de délai supplémentaire.</w:t>
      </w:r>
    </w:p>
    <w:p w14:paraId="35DFB929" w14:textId="692E2FE4" w:rsidR="00FC38C9" w:rsidRDefault="00FC38C9"/>
    <w:p w14:paraId="2BF02B73" w14:textId="7736F87A" w:rsidR="00FC38C9" w:rsidRPr="00F30864" w:rsidRDefault="00FC38C9">
      <w:pPr>
        <w:rPr>
          <w:b/>
          <w:bCs/>
          <w:u w:val="single"/>
        </w:rPr>
      </w:pPr>
      <w:r w:rsidRPr="00F30864">
        <w:rPr>
          <w:b/>
          <w:bCs/>
          <w:u w:val="single"/>
        </w:rPr>
        <w:t xml:space="preserve">2 : </w:t>
      </w:r>
      <w:r w:rsidR="006427BD" w:rsidRPr="00F30864">
        <w:rPr>
          <w:b/>
          <w:bCs/>
          <w:u w:val="single"/>
        </w:rPr>
        <w:t>Peut-on ne pas étiqueter nos produits en joignant les informations demandées sur le bon de livraison ?</w:t>
      </w:r>
    </w:p>
    <w:p w14:paraId="3341E998" w14:textId="705E40A8" w:rsidR="00FC38C9" w:rsidRDefault="00FC38C9">
      <w:r>
        <w:sym w:font="Wingdings" w:char="F0E0"/>
      </w:r>
      <w:r>
        <w:t xml:space="preserve"> Accordé sous réserve que c’est bien visible sur les cartons ET sous réserve de nous faire parvenir des planches d’étiquettes que nous collerons (autant que d’échantillons envoyés) avec la référence produit, le libellé produit et le numéro de lot.</w:t>
      </w:r>
    </w:p>
    <w:p w14:paraId="6AE36B6F" w14:textId="18327A37" w:rsidR="00FC38C9" w:rsidRDefault="00FC38C9">
      <w:r>
        <w:t>Sans ce moyen d’identification précis, les échantillons ne pourront pas être analysés.</w:t>
      </w:r>
    </w:p>
    <w:p w14:paraId="63875836" w14:textId="5A4FED5A" w:rsidR="00FC38C9" w:rsidRDefault="00FC38C9"/>
    <w:p w14:paraId="47517873" w14:textId="4D059979" w:rsidR="00FC38C9" w:rsidRPr="00F30864" w:rsidRDefault="00FC38C9">
      <w:pPr>
        <w:rPr>
          <w:b/>
          <w:bCs/>
          <w:u w:val="single"/>
        </w:rPr>
      </w:pPr>
      <w:r w:rsidRPr="00F30864">
        <w:rPr>
          <w:b/>
          <w:bCs/>
          <w:u w:val="single"/>
        </w:rPr>
        <w:t>3 : À quelle adresse mail désirez-vous recevoir les fiches techniques ?</w:t>
      </w:r>
    </w:p>
    <w:p w14:paraId="6ADD8FBF" w14:textId="2ED5B111" w:rsidR="00FC38C9" w:rsidRDefault="00FC38C9">
      <w:r>
        <w:sym w:font="Wingdings" w:char="F0E0"/>
      </w:r>
      <w:r>
        <w:t xml:space="preserve"> Les fiches techniques font partie de l’offre. Elles doivent être dans la réponse sur place.</w:t>
      </w:r>
    </w:p>
    <w:p w14:paraId="56F6A2D4" w14:textId="4ED18E0F" w:rsidR="00F30864" w:rsidRDefault="00F30864"/>
    <w:p w14:paraId="5843B6A1" w14:textId="0B3004F8" w:rsidR="00F30864" w:rsidRPr="00F30864" w:rsidRDefault="00F30864">
      <w:pPr>
        <w:rPr>
          <w:b/>
          <w:bCs/>
          <w:u w:val="single"/>
        </w:rPr>
      </w:pPr>
      <w:r w:rsidRPr="00F30864">
        <w:rPr>
          <w:b/>
          <w:bCs/>
          <w:u w:val="single"/>
        </w:rPr>
        <w:t>4 : L’annexe 1 – Remises ne concerne que le lot 32 ?</w:t>
      </w:r>
    </w:p>
    <w:p w14:paraId="0C8D5944" w14:textId="64DF116A" w:rsidR="00F30864" w:rsidRDefault="00F30864">
      <w:r>
        <w:sym w:font="Wingdings" w:char="F0E0"/>
      </w:r>
      <w:r>
        <w:t xml:space="preserve"> Non, cette annexe est ouverte aux propositions. Voir ci-dessous un extrait du CCAP.</w:t>
      </w:r>
    </w:p>
    <w:p w14:paraId="328C00E3" w14:textId="6B3AD7A1" w:rsidR="00F30864" w:rsidRDefault="00F30864">
      <w:r w:rsidRPr="00F30864">
        <w:rPr>
          <w:noProof/>
        </w:rPr>
        <w:drawing>
          <wp:inline distT="0" distB="0" distL="0" distR="0" wp14:anchorId="4B6F33F9" wp14:editId="0429B44C">
            <wp:extent cx="5544324" cy="110505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44324" cy="1105054"/>
                    </a:xfrm>
                    <a:prstGeom prst="rect">
                      <a:avLst/>
                    </a:prstGeom>
                  </pic:spPr>
                </pic:pic>
              </a:graphicData>
            </a:graphic>
          </wp:inline>
        </w:drawing>
      </w:r>
    </w:p>
    <w:p w14:paraId="72EFA245" w14:textId="6E313157" w:rsidR="00F30864" w:rsidRDefault="00F30864"/>
    <w:p w14:paraId="6727C820" w14:textId="4F40CBCF" w:rsidR="002B4F14" w:rsidRPr="002B4F14" w:rsidRDefault="002B4F14">
      <w:pPr>
        <w:rPr>
          <w:b/>
          <w:bCs/>
          <w:u w:val="single"/>
        </w:rPr>
      </w:pPr>
      <w:r w:rsidRPr="002B4F14">
        <w:rPr>
          <w:b/>
          <w:bCs/>
          <w:u w:val="single"/>
        </w:rPr>
        <w:t>5 : En page 8 du RC, article 10-SPECIMENS ET ESSAIS, pouvez-vous svp préciser ce que signifie exactement "Les candidats présenteront obligatoirement des spécimens, dans le conditionnement prévu par unité de distribution" Est-ce que cela signifie que si le conditionnement d’un produit est une boîte de 10 et que nous devons envoyer 2 spécimens, nous retirons 8 unités pour laisser les 2 spécimens dans son emballage initial ?</w:t>
      </w:r>
    </w:p>
    <w:p w14:paraId="19310B61" w14:textId="596D4018" w:rsidR="002B4F14" w:rsidRDefault="002B4F14" w:rsidP="002B4F14">
      <w:r>
        <w:sym w:font="Wingdings" w:char="F0E0"/>
      </w:r>
      <w:r>
        <w:t xml:space="preserve"> Si le conditionnement mini est 10, il est demandé de voir la boite avec les 10 spécimens. Ainsi nous pouvons analyser les infos du packaging. SI le coût est trop important, 1 seule boite peut suffire.</w:t>
      </w:r>
    </w:p>
    <w:p w14:paraId="299AFE56" w14:textId="6F871130" w:rsidR="002B4F14" w:rsidRDefault="002B4F14"/>
    <w:p w14:paraId="2BAB4025" w14:textId="77777777" w:rsidR="003E1C39" w:rsidRDefault="003E1C39"/>
    <w:p w14:paraId="46CF4A19" w14:textId="6D2A3EA7" w:rsidR="00F30864" w:rsidRPr="003E1C39" w:rsidRDefault="003E1C39">
      <w:pPr>
        <w:rPr>
          <w:b/>
          <w:bCs/>
          <w:u w:val="single"/>
        </w:rPr>
      </w:pPr>
      <w:r w:rsidRPr="003E1C39">
        <w:rPr>
          <w:b/>
          <w:bCs/>
          <w:u w:val="single"/>
        </w:rPr>
        <w:t>6 : Quelle est la date limite d’envoi des spécimens ?</w:t>
      </w:r>
    </w:p>
    <w:p w14:paraId="1AF1BA70" w14:textId="400734F2" w:rsidR="003E1C39" w:rsidRDefault="003E1C39">
      <w:r>
        <w:sym w:font="Wingdings" w:char="F0E0"/>
      </w:r>
      <w:r>
        <w:t xml:space="preserve"> Il s’agit de la même date que la remise des plis, le 12 mai.</w:t>
      </w:r>
    </w:p>
    <w:p w14:paraId="3CF43AE2" w14:textId="0083CFB7" w:rsidR="00F30864" w:rsidRDefault="00F30864"/>
    <w:p w14:paraId="5BC44A43" w14:textId="477920AB" w:rsidR="00F30864" w:rsidRPr="003E1C39" w:rsidRDefault="003E1C39">
      <w:pPr>
        <w:rPr>
          <w:b/>
          <w:bCs/>
          <w:u w:val="single"/>
        </w:rPr>
      </w:pPr>
      <w:r w:rsidRPr="003E1C39">
        <w:rPr>
          <w:b/>
          <w:bCs/>
          <w:u w:val="single"/>
        </w:rPr>
        <w:lastRenderedPageBreak/>
        <w:t>7 : Concernant les spécimens, est-il possible de vous envoyer une photo de l’emballage avec 2 spécimens ?</w:t>
      </w:r>
    </w:p>
    <w:p w14:paraId="4BDC58A9" w14:textId="0C7408B5" w:rsidR="003E1C39" w:rsidRDefault="003E1C39">
      <w:r>
        <w:sym w:font="Wingdings" w:char="F0E0"/>
      </w:r>
      <w:r>
        <w:t xml:space="preserve"> Non, sauf si le montant est supérieur à 400€. Éventuellement si c’est une boîte de 10, fournir la boîte avec 2 spécimens dedans.</w:t>
      </w:r>
    </w:p>
    <w:p w14:paraId="0A1BA063" w14:textId="60E4B713" w:rsidR="00F30864" w:rsidRDefault="00F30864"/>
    <w:p w14:paraId="41504E30" w14:textId="6E4F9A0B" w:rsidR="00F30864" w:rsidRPr="00A57215" w:rsidRDefault="00A57215">
      <w:pPr>
        <w:rPr>
          <w:b/>
          <w:bCs/>
          <w:u w:val="single"/>
        </w:rPr>
      </w:pPr>
      <w:r w:rsidRPr="00A57215">
        <w:rPr>
          <w:b/>
          <w:bCs/>
          <w:u w:val="single"/>
        </w:rPr>
        <w:t>8 : Les numéros de lots à sélectionner pour le dépôt du dossier sur place ne correspondent pas aux numéros des lots dans votre catalogue des besoins, quels numéros sont à inscrire dans le DC1 et DC2 ?</w:t>
      </w:r>
    </w:p>
    <w:p w14:paraId="7ED577FA" w14:textId="7F25C817" w:rsidR="00A57215" w:rsidRDefault="00A57215">
      <w:r>
        <w:sym w:font="Wingdings" w:char="F0E0"/>
      </w:r>
      <w:r>
        <w:t xml:space="preserve"> Il faut inscrire les numéros de lots indiqués dans le catalogue des besoins.</w:t>
      </w:r>
    </w:p>
    <w:p w14:paraId="677A244C" w14:textId="53CF60E2" w:rsidR="00942D8D" w:rsidRDefault="00942D8D"/>
    <w:p w14:paraId="55C49FCF" w14:textId="73339CA4" w:rsidR="00942D8D" w:rsidRDefault="00942D8D"/>
    <w:p w14:paraId="1E0D349E" w14:textId="0C10965F" w:rsidR="00942D8D" w:rsidRPr="00942D8D" w:rsidRDefault="00942D8D">
      <w:pPr>
        <w:rPr>
          <w:b/>
          <w:bCs/>
          <w:u w:val="single"/>
        </w:rPr>
      </w:pPr>
      <w:r w:rsidRPr="00942D8D">
        <w:rPr>
          <w:b/>
          <w:bCs/>
          <w:u w:val="single"/>
        </w:rPr>
        <w:t>9 : Les lots 68, 69 et 70, sont-ils concernés par les annexes 7 et 8 ?</w:t>
      </w:r>
    </w:p>
    <w:p w14:paraId="73657EEB" w14:textId="7E124314" w:rsidR="00942D8D" w:rsidRDefault="00942D8D">
      <w:r>
        <w:sym w:font="Wingdings" w:char="F0E0"/>
      </w:r>
      <w:r>
        <w:t xml:space="preserve"> L’annexe 7 : Oui sauf si toutes les informations sont déjà apportées par la fiche technique.</w:t>
      </w:r>
    </w:p>
    <w:p w14:paraId="67C68A44" w14:textId="5DDD40EC" w:rsidR="00942D8D" w:rsidRDefault="00942D8D">
      <w:r>
        <w:sym w:font="Wingdings" w:char="F0E0"/>
      </w:r>
      <w:r>
        <w:t xml:space="preserve"> L’annexe 8 concerne les DMI, elle ne concerne pas ces trois lots.</w:t>
      </w:r>
    </w:p>
    <w:p w14:paraId="2B68D7B6" w14:textId="7028381B" w:rsidR="00F30864" w:rsidRDefault="00F30864"/>
    <w:p w14:paraId="51FD5F97" w14:textId="00490065" w:rsidR="00F30864" w:rsidRDefault="00F30864"/>
    <w:p w14:paraId="0BA0E2AF" w14:textId="1A399B59" w:rsidR="00F30864" w:rsidRPr="00A11F54" w:rsidRDefault="00A11F54">
      <w:pPr>
        <w:rPr>
          <w:rFonts w:cstheme="minorHAnsi"/>
          <w:b/>
          <w:bCs/>
          <w:u w:val="single"/>
        </w:rPr>
      </w:pPr>
      <w:r w:rsidRPr="00A11F54">
        <w:rPr>
          <w:rFonts w:cstheme="minorHAnsi"/>
          <w:b/>
          <w:bCs/>
          <w:u w:val="single"/>
        </w:rPr>
        <w:t xml:space="preserve">10 : </w:t>
      </w:r>
      <w:r w:rsidRPr="00A11F54">
        <w:rPr>
          <w:rFonts w:eastAsia="Times New Roman" w:cstheme="minorHAnsi"/>
          <w:b/>
          <w:bCs/>
          <w:color w:val="767676"/>
          <w:u w:val="single"/>
        </w:rPr>
        <w:t>Concernant l'annexe 3 QUESTIONNAIRE PRESTATIONS FOURNISSEUR DEVELOPPEMENT DURABLE, sommes-nous imposés à répondre aux questions de fabrication sachant que nous sommes uniquement distributeur ?</w:t>
      </w:r>
    </w:p>
    <w:p w14:paraId="4B6AE261" w14:textId="32495CF8" w:rsidR="00A11F54" w:rsidRDefault="00A11F54">
      <w:r>
        <w:sym w:font="Wingdings" w:char="F0E0"/>
      </w:r>
      <w:r>
        <w:t xml:space="preserve"> Oui, il est nécessaire de répondre à toutes les questions. Si vous êtes distributeur, il faudra recueillir les réponses auprès du fabriquant.</w:t>
      </w:r>
    </w:p>
    <w:p w14:paraId="4380581B" w14:textId="2DC0DEA0" w:rsidR="00A11F54" w:rsidRDefault="00A11F54"/>
    <w:p w14:paraId="5B29594B" w14:textId="5C5382C9" w:rsidR="00A11F54" w:rsidRDefault="00A11F54"/>
    <w:p w14:paraId="0ACD527B" w14:textId="1F38F24C" w:rsidR="00A11F54" w:rsidRPr="00A11F54" w:rsidRDefault="00A11F54">
      <w:pPr>
        <w:rPr>
          <w:rFonts w:cstheme="minorHAnsi"/>
          <w:b/>
          <w:bCs/>
          <w:u w:val="single"/>
        </w:rPr>
      </w:pPr>
      <w:r w:rsidRPr="00A11F54">
        <w:rPr>
          <w:rFonts w:cstheme="minorHAnsi"/>
          <w:b/>
          <w:bCs/>
          <w:u w:val="single"/>
        </w:rPr>
        <w:t xml:space="preserve">11 : </w:t>
      </w:r>
      <w:r>
        <w:rPr>
          <w:rFonts w:eastAsia="Times New Roman" w:cstheme="minorHAnsi"/>
          <w:b/>
          <w:bCs/>
          <w:color w:val="767676"/>
          <w:u w:val="single"/>
        </w:rPr>
        <w:t>C</w:t>
      </w:r>
      <w:r w:rsidRPr="00A11F54">
        <w:rPr>
          <w:rFonts w:eastAsia="Times New Roman" w:cstheme="minorHAnsi"/>
          <w:b/>
          <w:bCs/>
          <w:color w:val="767676"/>
          <w:u w:val="single"/>
        </w:rPr>
        <w:t>oncernant l'envoi des spécimens, pouvons-nous vous proposer de vous envoyer les dossiers techniques sur CD-ROM ou clé USB au lieu de format papier svp ?</w:t>
      </w:r>
    </w:p>
    <w:p w14:paraId="440F87B4" w14:textId="1B55E4FF" w:rsidR="00A11F54" w:rsidRDefault="00A11F54">
      <w:r>
        <w:sym w:font="Wingdings" w:char="F0E0"/>
      </w:r>
      <w:r>
        <w:t xml:space="preserve"> </w:t>
      </w:r>
      <w:r w:rsidR="00CB516B">
        <w:t>Il n’est pas nécessaire d’accompagner les spécimens d’une fiche technique. Il est impératif que tous les documents techniques soient présents dans le dossier joint sur « PLACE ».</w:t>
      </w:r>
    </w:p>
    <w:p w14:paraId="1173B667" w14:textId="41A5309B" w:rsidR="00C37681" w:rsidRDefault="00CB516B">
      <w:r>
        <w:t xml:space="preserve">Si vous souhaiter rajouter la fiche technique avec les spécimens, nous n’acceptons pas les CD-ROM. Nous préférons le format papier ou </w:t>
      </w:r>
      <w:r w:rsidR="0060772D">
        <w:t>par</w:t>
      </w:r>
      <w:r>
        <w:t xml:space="preserve"> clé USB.</w:t>
      </w:r>
    </w:p>
    <w:p w14:paraId="7A264BBB" w14:textId="77777777" w:rsidR="00CB516B" w:rsidRDefault="00CB516B"/>
    <w:p w14:paraId="00D27996" w14:textId="258F170E" w:rsidR="00A11F54" w:rsidRDefault="00A11F54"/>
    <w:p w14:paraId="7D744A53" w14:textId="5DFAB888" w:rsidR="00A11F54" w:rsidRPr="0092171B" w:rsidRDefault="0092171B">
      <w:pPr>
        <w:rPr>
          <w:rFonts w:cstheme="minorHAnsi"/>
          <w:b/>
          <w:bCs/>
          <w:u w:val="single"/>
        </w:rPr>
      </w:pPr>
      <w:r w:rsidRPr="0092171B">
        <w:rPr>
          <w:rFonts w:cstheme="minorHAnsi"/>
          <w:b/>
          <w:bCs/>
          <w:u w:val="single"/>
        </w:rPr>
        <w:t xml:space="preserve">12 : </w:t>
      </w:r>
      <w:r w:rsidRPr="0092171B">
        <w:rPr>
          <w:rFonts w:eastAsia="Times New Roman" w:cstheme="minorHAnsi"/>
          <w:b/>
          <w:bCs/>
          <w:color w:val="767676"/>
          <w:u w:val="single"/>
        </w:rPr>
        <w:t>pouvez-vous, svp, nous donner un exemple précis du nommage des annexes. Elles ne sont pas répertoriées dans le document "nommage des fichiers"</w:t>
      </w:r>
    </w:p>
    <w:p w14:paraId="4D061664" w14:textId="411524F4" w:rsidR="00A11F54" w:rsidRDefault="0092171B">
      <w:r>
        <w:sym w:font="Wingdings" w:char="F0E0"/>
      </w:r>
      <w:r>
        <w:t xml:space="preserve"> </w:t>
      </w:r>
      <w:proofErr w:type="spellStart"/>
      <w:r w:rsidR="009A7FC9">
        <w:t>D</w:t>
      </w:r>
      <w:r w:rsidR="004712DD">
        <w:t>F</w:t>
      </w:r>
      <w:r w:rsidR="009A7FC9">
        <w:t>_AnnexeX_</w:t>
      </w:r>
      <w:r w:rsidR="001164CC">
        <w:t>libellé</w:t>
      </w:r>
      <w:proofErr w:type="spellEnd"/>
      <w:r w:rsidR="001164CC">
        <w:t xml:space="preserve"> </w:t>
      </w:r>
    </w:p>
    <w:p w14:paraId="77021269" w14:textId="63C53D4D" w:rsidR="00A11F54" w:rsidRDefault="009A7FC9" w:rsidP="009A7FC9">
      <w:r>
        <w:t>Par exemple, pour l’annexe 3 : D</w:t>
      </w:r>
      <w:r w:rsidR="004712DD">
        <w:t>F</w:t>
      </w:r>
      <w:r>
        <w:t>_Annexe3_</w:t>
      </w:r>
      <w:r w:rsidR="003F4EA0" w:rsidRPr="003F4EA0">
        <w:t xml:space="preserve"> </w:t>
      </w:r>
      <w:proofErr w:type="spellStart"/>
      <w:r w:rsidR="003F4EA0" w:rsidRPr="003F4EA0">
        <w:t>Prestation</w:t>
      </w:r>
      <w:r w:rsidR="003F4EA0">
        <w:t>_</w:t>
      </w:r>
      <w:r w:rsidR="003F4EA0" w:rsidRPr="003F4EA0">
        <w:t>fournisseur</w:t>
      </w:r>
      <w:r w:rsidR="003F4EA0">
        <w:t>_</w:t>
      </w:r>
      <w:r w:rsidR="003F4EA0" w:rsidRPr="003F4EA0">
        <w:t>développement</w:t>
      </w:r>
      <w:r w:rsidR="003F4EA0">
        <w:t>_</w:t>
      </w:r>
      <w:r w:rsidR="003F4EA0" w:rsidRPr="003F4EA0">
        <w:t>durable</w:t>
      </w:r>
      <w:proofErr w:type="spellEnd"/>
    </w:p>
    <w:p w14:paraId="1FAA0714" w14:textId="58DE58F0" w:rsidR="00A11F54" w:rsidRDefault="00A11F54"/>
    <w:p w14:paraId="6506E4C0" w14:textId="5482735D" w:rsidR="00A11F54" w:rsidRDefault="00A11F54"/>
    <w:p w14:paraId="2B9099EB" w14:textId="45ECA2BE" w:rsidR="00A11F54" w:rsidRPr="003C6DF0" w:rsidRDefault="003C6DF0">
      <w:pPr>
        <w:rPr>
          <w:rFonts w:cstheme="minorHAnsi"/>
          <w:b/>
          <w:bCs/>
          <w:u w:val="single"/>
        </w:rPr>
      </w:pPr>
      <w:r w:rsidRPr="003C6DF0">
        <w:rPr>
          <w:rFonts w:cstheme="minorHAnsi"/>
          <w:b/>
          <w:bCs/>
          <w:u w:val="single"/>
        </w:rPr>
        <w:t xml:space="preserve">13 : </w:t>
      </w:r>
      <w:r w:rsidRPr="003C6DF0">
        <w:rPr>
          <w:rFonts w:eastAsia="Times New Roman" w:cstheme="minorHAnsi"/>
          <w:b/>
          <w:bCs/>
          <w:color w:val="767676"/>
          <w:u w:val="single"/>
        </w:rPr>
        <w:t>Est ce que les variantes sont autorisées ?</w:t>
      </w:r>
    </w:p>
    <w:p w14:paraId="226D16CE" w14:textId="6824D5ED" w:rsidR="003C6DF0" w:rsidRDefault="003C6DF0">
      <w:r>
        <w:sym w:font="Wingdings" w:char="F0E0"/>
      </w:r>
      <w:r>
        <w:t xml:space="preserve"> </w:t>
      </w:r>
      <w:r w:rsidR="00CB516B">
        <w:t>Oui, les variantes sont autorisées</w:t>
      </w:r>
    </w:p>
    <w:p w14:paraId="6CA83CCB" w14:textId="0D31200D" w:rsidR="003C6DF0" w:rsidRDefault="003C6DF0"/>
    <w:p w14:paraId="30A74035" w14:textId="77777777" w:rsidR="003C6DF0" w:rsidRDefault="003C6DF0"/>
    <w:p w14:paraId="369784F1" w14:textId="3636EAAF" w:rsidR="00A11F54" w:rsidRPr="00CB516B" w:rsidRDefault="00CB516B">
      <w:pPr>
        <w:rPr>
          <w:rFonts w:cstheme="minorHAnsi"/>
          <w:b/>
          <w:bCs/>
          <w:u w:val="single"/>
        </w:rPr>
      </w:pPr>
      <w:r w:rsidRPr="00CB516B">
        <w:rPr>
          <w:rFonts w:cstheme="minorHAnsi"/>
          <w:b/>
          <w:bCs/>
          <w:u w:val="single"/>
        </w:rPr>
        <w:t xml:space="preserve">14 : </w:t>
      </w:r>
      <w:r w:rsidRPr="00CB516B">
        <w:rPr>
          <w:rFonts w:eastAsia="Times New Roman" w:cstheme="minorHAnsi"/>
          <w:b/>
          <w:bCs/>
          <w:color w:val="767676"/>
          <w:u w:val="single"/>
        </w:rPr>
        <w:t>Pour le lot 256, pourriez-vous clarifier les points suivants : • Le type de collecteur pour la diurèse attendu ? • La taille de la poche de collecte requise ? • La longueur de la tubulure souhaitée ?</w:t>
      </w:r>
    </w:p>
    <w:p w14:paraId="75731313" w14:textId="3310D542" w:rsidR="00A11F54" w:rsidRDefault="00CB516B">
      <w:r>
        <w:sym w:font="Wingdings" w:char="F0E0"/>
      </w:r>
      <w:r>
        <w:t xml:space="preserve"> </w:t>
      </w:r>
      <w:r w:rsidR="00703F05">
        <w:t>Il n’y a pas de lot numéro 256</w:t>
      </w:r>
    </w:p>
    <w:p w14:paraId="27D22350" w14:textId="66EB6ACE" w:rsidR="00703F05" w:rsidRDefault="00703F05">
      <w:r>
        <w:sym w:font="Wingdings" w:char="F0E0"/>
      </w:r>
      <w:r>
        <w:t xml:space="preserve"> Si vous faites référence au lot 106 :</w:t>
      </w:r>
    </w:p>
    <w:p w14:paraId="706D4FBA" w14:textId="239D9EBD" w:rsidR="00703F05" w:rsidRDefault="00703F05">
      <w:r>
        <w:tab/>
      </w:r>
      <w:r>
        <w:sym w:font="Wingdings" w:char="F0E0"/>
      </w:r>
      <w:r>
        <w:t xml:space="preserve"> Le type de collecteur est précisé dans le catalogue des besoins</w:t>
      </w:r>
    </w:p>
    <w:p w14:paraId="641E00F4" w14:textId="28D3DFFF" w:rsidR="00703F05" w:rsidRDefault="00703F05">
      <w:r>
        <w:tab/>
      </w:r>
      <w:r>
        <w:sym w:font="Wingdings" w:char="F0E0"/>
      </w:r>
      <w:r>
        <w:t xml:space="preserve"> La taille de la poche requise est entre 1,5 et 2 L</w:t>
      </w:r>
    </w:p>
    <w:p w14:paraId="63450BC2" w14:textId="52C64489" w:rsidR="00703F05" w:rsidRDefault="00703F05">
      <w:r>
        <w:tab/>
      </w:r>
      <w:r>
        <w:sym w:font="Wingdings" w:char="F0E0"/>
      </w:r>
      <w:r>
        <w:t xml:space="preserve"> La longueur de la tubulure souhaitée est entre 1m20 et 1m70</w:t>
      </w:r>
    </w:p>
    <w:p w14:paraId="23A31AF9" w14:textId="434E76C2" w:rsidR="00A11F54" w:rsidRDefault="00A11F54"/>
    <w:p w14:paraId="342EC213" w14:textId="00D82554" w:rsidR="00A11F54" w:rsidRDefault="00A11F54"/>
    <w:p w14:paraId="7F1CB37F" w14:textId="0398A670" w:rsidR="00A11F54" w:rsidRPr="00504267" w:rsidRDefault="00504267">
      <w:pPr>
        <w:rPr>
          <w:rFonts w:cstheme="minorHAnsi"/>
          <w:b/>
          <w:bCs/>
          <w:u w:val="single"/>
        </w:rPr>
      </w:pPr>
      <w:r w:rsidRPr="00504267">
        <w:rPr>
          <w:rFonts w:cstheme="minorHAnsi"/>
          <w:b/>
          <w:bCs/>
          <w:u w:val="single"/>
        </w:rPr>
        <w:t xml:space="preserve">15 : </w:t>
      </w:r>
      <w:r w:rsidRPr="00504267">
        <w:rPr>
          <w:rFonts w:eastAsia="Times New Roman" w:cstheme="minorHAnsi"/>
          <w:b/>
          <w:bCs/>
          <w:color w:val="767676"/>
          <w:u w:val="single"/>
        </w:rPr>
        <w:t>Nous souhaitons répondre aux lots 43 &amp; 45, et aucun spécimen n'est pas demandé dans le catalogue des besoins. Doit-on tout de même vous en faire parvenir ?</w:t>
      </w:r>
    </w:p>
    <w:p w14:paraId="3F7192C7" w14:textId="22CF8983" w:rsidR="00A11F54" w:rsidRDefault="00504267">
      <w:r>
        <w:sym w:font="Wingdings" w:char="F0E0"/>
      </w:r>
      <w:r>
        <w:t xml:space="preserve"> </w:t>
      </w:r>
      <w:r w:rsidR="00511CB4">
        <w:t xml:space="preserve">Non, il n’est pas nécessaire de nous fournir un spécimen si le </w:t>
      </w:r>
      <w:r w:rsidR="00DD786F">
        <w:t>prix de vente</w:t>
      </w:r>
      <w:r w:rsidR="00511CB4">
        <w:t xml:space="preserve"> est supérieur à 400€. Dans ce cas, il est </w:t>
      </w:r>
      <w:r w:rsidR="00511CB4" w:rsidRPr="00511CB4">
        <w:rPr>
          <w:b/>
          <w:bCs/>
        </w:rPr>
        <w:t>obligatoire</w:t>
      </w:r>
      <w:r w:rsidR="00511CB4">
        <w:t xml:space="preserve"> de remplir et de nous fournir les annexes 7 et 8 complétés.</w:t>
      </w:r>
    </w:p>
    <w:p w14:paraId="307B766A" w14:textId="0B7A89F1" w:rsidR="00CB516B" w:rsidRDefault="00CB516B"/>
    <w:p w14:paraId="770A9653" w14:textId="6C35DBB2" w:rsidR="00CB516B" w:rsidRDefault="00CB516B"/>
    <w:p w14:paraId="693A2B15" w14:textId="1BAC7A9A" w:rsidR="00CB516B" w:rsidRPr="00125716" w:rsidRDefault="00125716">
      <w:pPr>
        <w:rPr>
          <w:rFonts w:cstheme="minorHAnsi"/>
          <w:b/>
          <w:bCs/>
          <w:u w:val="single"/>
        </w:rPr>
      </w:pPr>
      <w:r w:rsidRPr="00125716">
        <w:rPr>
          <w:rFonts w:cstheme="minorHAnsi"/>
          <w:b/>
          <w:bCs/>
          <w:u w:val="single"/>
        </w:rPr>
        <w:t xml:space="preserve">16 : </w:t>
      </w:r>
      <w:r w:rsidRPr="00125716">
        <w:rPr>
          <w:rFonts w:eastAsia="Times New Roman" w:cstheme="minorHAnsi"/>
          <w:b/>
          <w:bCs/>
          <w:color w:val="767676"/>
          <w:u w:val="single"/>
        </w:rPr>
        <w:t>Dans le tableau DUG 26 2026, les quantités max = estimées : est-ce normal ?</w:t>
      </w:r>
    </w:p>
    <w:p w14:paraId="75C8AC8A" w14:textId="600B40A0" w:rsidR="00CB516B" w:rsidRDefault="00125716">
      <w:r>
        <w:sym w:font="Wingdings" w:char="F0E0"/>
      </w:r>
      <w:r>
        <w:t xml:space="preserve"> </w:t>
      </w:r>
      <w:proofErr w:type="spellStart"/>
      <w:r w:rsidR="00511CB4">
        <w:t>c.f</w:t>
      </w:r>
      <w:proofErr w:type="spellEnd"/>
      <w:r w:rsidR="00511CB4">
        <w:t xml:space="preserve"> CCAP DUG 26</w:t>
      </w:r>
      <w:r w:rsidR="00420211">
        <w:t>, page 3</w:t>
      </w:r>
    </w:p>
    <w:p w14:paraId="10FBBE06" w14:textId="4C63D47C" w:rsidR="00511CB4" w:rsidRDefault="00511CB4">
      <w:r>
        <w:sym w:font="Wingdings" w:char="F0E0"/>
      </w:r>
      <w:r>
        <w:t xml:space="preserve"> Rappel : la quantité estimative est fixée sur une période de 24 mois.</w:t>
      </w:r>
    </w:p>
    <w:p w14:paraId="684B1E4D" w14:textId="24D66982" w:rsidR="00CB516B" w:rsidRDefault="00CB516B"/>
    <w:p w14:paraId="509A6B87" w14:textId="4F1C08F0" w:rsidR="00CB516B" w:rsidRDefault="00CB516B"/>
    <w:p w14:paraId="018FB270" w14:textId="7C4EA42F" w:rsidR="00CB516B" w:rsidRPr="00125716" w:rsidRDefault="00125716">
      <w:pPr>
        <w:rPr>
          <w:rFonts w:cstheme="minorHAnsi"/>
          <w:b/>
          <w:bCs/>
          <w:u w:val="single"/>
        </w:rPr>
      </w:pPr>
      <w:r w:rsidRPr="00125716">
        <w:rPr>
          <w:rFonts w:cstheme="minorHAnsi"/>
          <w:b/>
          <w:bCs/>
          <w:u w:val="single"/>
        </w:rPr>
        <w:t xml:space="preserve">17 : </w:t>
      </w:r>
      <w:r w:rsidRPr="00125716">
        <w:rPr>
          <w:rFonts w:eastAsia="Times New Roman" w:cstheme="minorHAnsi"/>
          <w:b/>
          <w:bCs/>
          <w:color w:val="767676"/>
          <w:u w:val="single"/>
        </w:rPr>
        <w:t>le RC mentionne 2 échantillons par réf., mais "0" apparaît dans le tableau</w:t>
      </w:r>
      <w:r w:rsidR="00FD3E0E">
        <w:rPr>
          <w:rFonts w:eastAsia="Times New Roman" w:cstheme="minorHAnsi"/>
          <w:b/>
          <w:bCs/>
          <w:color w:val="767676"/>
          <w:u w:val="single"/>
        </w:rPr>
        <w:t xml:space="preserve"> DUG 26</w:t>
      </w:r>
      <w:r w:rsidRPr="00125716">
        <w:rPr>
          <w:rFonts w:eastAsia="Times New Roman" w:cstheme="minorHAnsi"/>
          <w:b/>
          <w:bCs/>
          <w:color w:val="767676"/>
          <w:u w:val="single"/>
        </w:rPr>
        <w:t>. Pouvez-vous confirmer ?</w:t>
      </w:r>
    </w:p>
    <w:p w14:paraId="724B97FD" w14:textId="72D03DDD" w:rsidR="00CB516B" w:rsidRDefault="00125716">
      <w:r>
        <w:sym w:font="Wingdings" w:char="F0E0"/>
      </w:r>
      <w:r>
        <w:t xml:space="preserve"> </w:t>
      </w:r>
      <w:r w:rsidR="00511CB4">
        <w:t xml:space="preserve">Il ne faut pas tenir compte du 0 qui est indiqué dans le tableau. </w:t>
      </w:r>
    </w:p>
    <w:p w14:paraId="39E23668" w14:textId="2101CAB6" w:rsidR="00511CB4" w:rsidRDefault="00511CB4">
      <w:r>
        <w:t xml:space="preserve">2 échantillons </w:t>
      </w:r>
      <w:r w:rsidR="00DD786F">
        <w:t>sont à fournir obligatoirement pour tout produit dont le prix de vente est inférieur à 400€.</w:t>
      </w:r>
    </w:p>
    <w:p w14:paraId="6EA0DC13" w14:textId="02F4FE7C" w:rsidR="00DD786F" w:rsidRDefault="00DD786F">
      <w:r>
        <w:lastRenderedPageBreak/>
        <w:sym w:font="Wingdings" w:char="F0E0"/>
      </w:r>
      <w:r>
        <w:t xml:space="preserve"> Rappel : I</w:t>
      </w:r>
      <w:r>
        <w:t xml:space="preserve">l n’est pas nécessaire de nous fournir un spécimen si le </w:t>
      </w:r>
      <w:r>
        <w:t>prix</w:t>
      </w:r>
      <w:r>
        <w:t xml:space="preserve"> est supérieur à 400€. Dans ce cas, il est </w:t>
      </w:r>
      <w:r w:rsidRPr="00511CB4">
        <w:rPr>
          <w:b/>
          <w:bCs/>
        </w:rPr>
        <w:t>obligatoire</w:t>
      </w:r>
      <w:r>
        <w:t xml:space="preserve"> de remplir et de nous fournir les annexes 7 et 8 complétés.</w:t>
      </w:r>
    </w:p>
    <w:p w14:paraId="40EB4B33" w14:textId="3B763EA8" w:rsidR="00CB516B" w:rsidRDefault="00CB516B"/>
    <w:p w14:paraId="424E890D" w14:textId="59EC7F47" w:rsidR="00125716" w:rsidRDefault="00125716"/>
    <w:p w14:paraId="60DBB28A" w14:textId="252C0B38" w:rsidR="00125716" w:rsidRPr="00125716" w:rsidRDefault="00125716">
      <w:pPr>
        <w:rPr>
          <w:rFonts w:cstheme="minorHAnsi"/>
          <w:b/>
          <w:bCs/>
          <w:u w:val="single"/>
        </w:rPr>
      </w:pPr>
      <w:r w:rsidRPr="00125716">
        <w:rPr>
          <w:rFonts w:cstheme="minorHAnsi"/>
          <w:b/>
          <w:bCs/>
          <w:u w:val="single"/>
        </w:rPr>
        <w:t xml:space="preserve">18 : </w:t>
      </w:r>
      <w:r w:rsidRPr="00125716">
        <w:rPr>
          <w:rFonts w:eastAsia="Times New Roman" w:cstheme="minorHAnsi"/>
          <w:b/>
          <w:bCs/>
          <w:color w:val="767676"/>
          <w:u w:val="single"/>
        </w:rPr>
        <w:t>Concernant l'annexe 7, souhaitez-vous IUD par conditionnement vente ? Et pour chaque référence ?</w:t>
      </w:r>
    </w:p>
    <w:p w14:paraId="7E7821EF" w14:textId="2DBAA600" w:rsidR="00125716" w:rsidRDefault="00125716">
      <w:r>
        <w:sym w:font="Wingdings" w:char="F0E0"/>
      </w:r>
      <w:r>
        <w:t xml:space="preserve"> </w:t>
      </w:r>
      <w:r w:rsidR="00DD786F">
        <w:t>Oui. 1 par gamme suffit.</w:t>
      </w:r>
    </w:p>
    <w:p w14:paraId="56ACB238" w14:textId="3A3DF97E" w:rsidR="00125716" w:rsidRDefault="00125716"/>
    <w:p w14:paraId="769926DE" w14:textId="6C751984" w:rsidR="00125716" w:rsidRDefault="00125716"/>
    <w:p w14:paraId="6360DB5B" w14:textId="15CC1C62" w:rsidR="00125716" w:rsidRDefault="00125716"/>
    <w:p w14:paraId="5269ABC6" w14:textId="3AEFB268" w:rsidR="00125716" w:rsidRDefault="00125716"/>
    <w:p w14:paraId="189C13B4" w14:textId="36ACA4A7" w:rsidR="00125716" w:rsidRDefault="00125716"/>
    <w:p w14:paraId="1835605B" w14:textId="52BE33B0" w:rsidR="00125716" w:rsidRDefault="00125716"/>
    <w:p w14:paraId="65D1BC5B" w14:textId="3A33CB99" w:rsidR="00125716" w:rsidRDefault="00125716"/>
    <w:p w14:paraId="70166C91" w14:textId="274FFB87" w:rsidR="00125716" w:rsidRDefault="00125716"/>
    <w:p w14:paraId="42711F78" w14:textId="08D105A1" w:rsidR="00125716" w:rsidRDefault="00125716"/>
    <w:p w14:paraId="55D1AC75" w14:textId="67D1DC78" w:rsidR="00125716" w:rsidRDefault="00125716"/>
    <w:p w14:paraId="7903CADF" w14:textId="218AC0B4" w:rsidR="00125716" w:rsidRDefault="00125716"/>
    <w:p w14:paraId="630F7E3F" w14:textId="77777777" w:rsidR="00125716" w:rsidRDefault="00125716"/>
    <w:sectPr w:rsidR="0012571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A94C6" w14:textId="77777777" w:rsidR="00CB5D98" w:rsidRDefault="00CB5D98" w:rsidP="00CB5D98">
      <w:pPr>
        <w:spacing w:after="0" w:line="240" w:lineRule="auto"/>
      </w:pPr>
      <w:r>
        <w:separator/>
      </w:r>
    </w:p>
  </w:endnote>
  <w:endnote w:type="continuationSeparator" w:id="0">
    <w:p w14:paraId="0005AB8C" w14:textId="77777777" w:rsidR="00CB5D98" w:rsidRDefault="00CB5D98" w:rsidP="00CB5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334621"/>
      <w:docPartObj>
        <w:docPartGallery w:val="Page Numbers (Bottom of Page)"/>
        <w:docPartUnique/>
      </w:docPartObj>
    </w:sdtPr>
    <w:sdtEndPr/>
    <w:sdtContent>
      <w:p w14:paraId="0B2C877A" w14:textId="77777777" w:rsidR="00CB5D98" w:rsidRDefault="00CB5D98">
        <w:pPr>
          <w:pStyle w:val="Pieddepage"/>
          <w:jc w:val="center"/>
        </w:pPr>
      </w:p>
      <w:p w14:paraId="3F53398D" w14:textId="6965583A" w:rsidR="00CB5D98" w:rsidRDefault="00CB5D98">
        <w:pPr>
          <w:pStyle w:val="Pieddepage"/>
          <w:jc w:val="center"/>
        </w:pPr>
        <w:r>
          <w:fldChar w:fldCharType="begin"/>
        </w:r>
        <w:r>
          <w:instrText>PAGE   \* MERGEFORMAT</w:instrText>
        </w:r>
        <w:r>
          <w:fldChar w:fldCharType="separate"/>
        </w:r>
        <w:r>
          <w:t>2</w:t>
        </w:r>
        <w:r>
          <w:fldChar w:fldCharType="end"/>
        </w:r>
        <w:r>
          <w:t>/</w:t>
        </w:r>
        <w:r w:rsidR="00BA3B22">
          <w:t>4</w:t>
        </w:r>
      </w:p>
    </w:sdtContent>
  </w:sdt>
  <w:p w14:paraId="273560E7" w14:textId="2CE1361C" w:rsidR="00CB5D98" w:rsidRPr="00CB5D98" w:rsidRDefault="00CB5D98" w:rsidP="00CB5D98">
    <w:pPr>
      <w:pStyle w:val="Pieddepage"/>
      <w:tabs>
        <w:tab w:val="clear" w:pos="4536"/>
        <w:tab w:val="clear" w:pos="9072"/>
        <w:tab w:val="left" w:pos="3556"/>
      </w:tabs>
      <w:jc w:val="right"/>
      <w:rPr>
        <w:sz w:val="16"/>
        <w:szCs w:val="16"/>
      </w:rPr>
    </w:pPr>
    <w:r w:rsidRPr="00CB5D98">
      <w:rPr>
        <w:sz w:val="16"/>
        <w:szCs w:val="16"/>
      </w:rPr>
      <w:t xml:space="preserve">Dernière modification : </w:t>
    </w:r>
    <w:r w:rsidR="00703F05">
      <w:rPr>
        <w:sz w:val="16"/>
        <w:szCs w:val="16"/>
      </w:rPr>
      <w:t>25</w:t>
    </w:r>
    <w:r w:rsidRPr="00CB5D98">
      <w:rPr>
        <w:sz w:val="16"/>
        <w:szCs w:val="16"/>
      </w:rPr>
      <w:t xml:space="preserve"> avril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CD31F" w14:textId="77777777" w:rsidR="00CB5D98" w:rsidRDefault="00CB5D98" w:rsidP="00CB5D98">
      <w:pPr>
        <w:spacing w:after="0" w:line="240" w:lineRule="auto"/>
      </w:pPr>
      <w:r>
        <w:separator/>
      </w:r>
    </w:p>
  </w:footnote>
  <w:footnote w:type="continuationSeparator" w:id="0">
    <w:p w14:paraId="16189650" w14:textId="77777777" w:rsidR="00CB5D98" w:rsidRDefault="00CB5D98" w:rsidP="00CB5D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42A"/>
    <w:rsid w:val="001164CC"/>
    <w:rsid w:val="00125716"/>
    <w:rsid w:val="002B4F14"/>
    <w:rsid w:val="003C6DF0"/>
    <w:rsid w:val="003E1C39"/>
    <w:rsid w:val="003F4EA0"/>
    <w:rsid w:val="00420211"/>
    <w:rsid w:val="004712DD"/>
    <w:rsid w:val="00504267"/>
    <w:rsid w:val="00511CB4"/>
    <w:rsid w:val="00532E17"/>
    <w:rsid w:val="0060772D"/>
    <w:rsid w:val="006427BD"/>
    <w:rsid w:val="00703F05"/>
    <w:rsid w:val="0074242A"/>
    <w:rsid w:val="0092171B"/>
    <w:rsid w:val="00942D8D"/>
    <w:rsid w:val="009A7FC9"/>
    <w:rsid w:val="00A11F54"/>
    <w:rsid w:val="00A57215"/>
    <w:rsid w:val="00BA3B22"/>
    <w:rsid w:val="00C37681"/>
    <w:rsid w:val="00CB516B"/>
    <w:rsid w:val="00CB5D98"/>
    <w:rsid w:val="00D33684"/>
    <w:rsid w:val="00DD786F"/>
    <w:rsid w:val="00F30864"/>
    <w:rsid w:val="00FC38C9"/>
    <w:rsid w:val="00FD3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5D19E0"/>
  <w15:chartTrackingRefBased/>
  <w15:docId w15:val="{996591DC-B338-4414-ACC9-5098BEEC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B5D98"/>
    <w:pPr>
      <w:tabs>
        <w:tab w:val="center" w:pos="4536"/>
        <w:tab w:val="right" w:pos="9072"/>
      </w:tabs>
      <w:spacing w:after="0" w:line="240" w:lineRule="auto"/>
    </w:pPr>
  </w:style>
  <w:style w:type="character" w:customStyle="1" w:styleId="En-tteCar">
    <w:name w:val="En-tête Car"/>
    <w:basedOn w:val="Policepardfaut"/>
    <w:link w:val="En-tte"/>
    <w:uiPriority w:val="99"/>
    <w:rsid w:val="00CB5D98"/>
  </w:style>
  <w:style w:type="paragraph" w:styleId="Pieddepage">
    <w:name w:val="footer"/>
    <w:basedOn w:val="Normal"/>
    <w:link w:val="PieddepageCar"/>
    <w:uiPriority w:val="99"/>
    <w:unhideWhenUsed/>
    <w:rsid w:val="00CB5D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5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4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801</Words>
  <Characters>4406</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BOEHLES Jordan</dc:creator>
  <cp:keywords/>
  <dc:description/>
  <cp:lastModifiedBy>BOEHLES Jordan</cp:lastModifiedBy>
  <cp:revision>27</cp:revision>
  <cp:lastPrinted>2025-04-24T13:50:00Z</cp:lastPrinted>
  <dcterms:created xsi:type="dcterms:W3CDTF">2025-03-19T08:45:00Z</dcterms:created>
  <dcterms:modified xsi:type="dcterms:W3CDTF">2025-04-25T11:55:00Z</dcterms:modified>
</cp:coreProperties>
</file>