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BF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noProof/>
          <w:sz w:val="24"/>
          <w:szCs w:val="24"/>
        </w:rPr>
        <w:drawing>
          <wp:inline distT="0" distB="0" distL="0" distR="0">
            <wp:extent cx="2171700" cy="965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965200"/>
                    </a:xfrm>
                    <a:prstGeom prst="rect">
                      <a:avLst/>
                    </a:prstGeom>
                    <a:noFill/>
                    <a:ln>
                      <a:noFill/>
                    </a:ln>
                  </pic:spPr>
                </pic:pic>
              </a:graphicData>
            </a:graphic>
          </wp:inline>
        </w:drawing>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5D3D1F">
        <w:tc>
          <w:tcPr>
            <w:tcW w:w="46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08" w:right="104"/>
              <w:rPr>
                <w:rFonts w:ascii="Arial" w:hAnsi="Arial" w:cs="Arial"/>
                <w:color w:val="000000"/>
                <w:sz w:val="28"/>
                <w:szCs w:val="28"/>
              </w:rPr>
            </w:pPr>
            <w:r>
              <w:rPr>
                <w:rFonts w:ascii="Arial" w:hAnsi="Arial" w:cs="Arial"/>
                <w:color w:val="000000"/>
                <w:sz w:val="28"/>
                <w:szCs w:val="28"/>
              </w:rPr>
              <w:t>Caisse Générale de Sécurité Sociale de la Martinique</w:t>
            </w:r>
          </w:p>
          <w:p w:rsidR="005D3D1F" w:rsidRDefault="005D3D1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000000"/>
              </w:rPr>
              <w:t>Département des marchés</w:t>
            </w:r>
          </w:p>
        </w:tc>
        <w:tc>
          <w:tcPr>
            <w:tcW w:w="4577" w:type="dxa"/>
            <w:tcBorders>
              <w:top w:val="nil"/>
              <w:left w:val="nil"/>
              <w:bottom w:val="nil"/>
              <w:right w:val="nil"/>
            </w:tcBorders>
            <w:shd w:val="clear" w:color="auto" w:fill="E7E6E6"/>
            <w:vAlign w:val="center"/>
          </w:tcPr>
          <w:p w:rsidR="005D3D1F" w:rsidRDefault="005D3D1F">
            <w:pPr>
              <w:widowControl w:val="0"/>
              <w:autoSpaceDE w:val="0"/>
              <w:autoSpaceDN w:val="0"/>
              <w:adjustRightInd w:val="0"/>
              <w:spacing w:after="0" w:line="240" w:lineRule="auto"/>
              <w:ind w:left="112" w:right="87"/>
              <w:jc w:val="right"/>
              <w:rPr>
                <w:rFonts w:ascii="Arial" w:hAnsi="Arial" w:cs="Arial"/>
                <w:color w:val="000000"/>
                <w:sz w:val="28"/>
                <w:szCs w:val="28"/>
              </w:rPr>
            </w:pPr>
          </w:p>
          <w:p w:rsidR="005D3D1F" w:rsidRDefault="005D3D1F">
            <w:pPr>
              <w:widowControl w:val="0"/>
              <w:autoSpaceDE w:val="0"/>
              <w:autoSpaceDN w:val="0"/>
              <w:adjustRightInd w:val="0"/>
              <w:spacing w:after="0" w:line="240" w:lineRule="auto"/>
              <w:ind w:left="112" w:right="87"/>
              <w:jc w:val="right"/>
              <w:rPr>
                <w:rFonts w:ascii="Arial" w:hAnsi="Arial" w:cs="Arial"/>
                <w:b/>
                <w:bCs/>
                <w:color w:val="000000"/>
                <w:sz w:val="28"/>
                <w:szCs w:val="28"/>
              </w:rPr>
            </w:pPr>
            <w:r>
              <w:rPr>
                <w:rFonts w:ascii="Arial" w:hAnsi="Arial" w:cs="Arial"/>
                <w:b/>
                <w:bCs/>
                <w:color w:val="000000"/>
                <w:sz w:val="28"/>
                <w:szCs w:val="28"/>
              </w:rPr>
              <w:t>ACCORD-CADRE</w:t>
            </w:r>
          </w:p>
          <w:p w:rsidR="005D3D1F" w:rsidRDefault="005D3D1F">
            <w:pPr>
              <w:widowControl w:val="0"/>
              <w:autoSpaceDE w:val="0"/>
              <w:autoSpaceDN w:val="0"/>
              <w:adjustRightInd w:val="0"/>
              <w:spacing w:after="0" w:line="240" w:lineRule="auto"/>
              <w:ind w:left="112" w:right="87"/>
              <w:jc w:val="right"/>
              <w:rPr>
                <w:rFonts w:ascii="Arial" w:hAnsi="Arial" w:cs="Arial"/>
                <w:b/>
                <w:bCs/>
                <w:color w:val="000000"/>
                <w:sz w:val="28"/>
                <w:szCs w:val="28"/>
              </w:rPr>
            </w:pPr>
            <w:r>
              <w:rPr>
                <w:rFonts w:ascii="Arial" w:hAnsi="Arial" w:cs="Arial"/>
                <w:b/>
                <w:bCs/>
                <w:color w:val="000000"/>
                <w:sz w:val="28"/>
                <w:szCs w:val="28"/>
              </w:rPr>
              <w:t>DE SERVICES</w:t>
            </w:r>
          </w:p>
          <w:p w:rsidR="005D3D1F" w:rsidRDefault="005D3D1F">
            <w:pPr>
              <w:widowControl w:val="0"/>
              <w:autoSpaceDE w:val="0"/>
              <w:autoSpaceDN w:val="0"/>
              <w:adjustRightInd w:val="0"/>
              <w:spacing w:after="0" w:line="240" w:lineRule="auto"/>
              <w:ind w:left="112" w:right="87"/>
              <w:jc w:val="right"/>
              <w:rPr>
                <w:rFonts w:ascii="Arial" w:hAnsi="Arial" w:cs="Arial"/>
                <w:sz w:val="24"/>
                <w:szCs w:val="24"/>
              </w:rPr>
            </w:pP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5D3D1F">
        <w:tc>
          <w:tcPr>
            <w:tcW w:w="2093" w:type="dxa"/>
            <w:tcBorders>
              <w:top w:val="nil"/>
              <w:left w:val="nil"/>
              <w:bottom w:val="nil"/>
              <w:right w:val="nil"/>
            </w:tcBorders>
            <w:shd w:val="clear" w:color="auto" w:fill="FFFFFF"/>
          </w:tcPr>
          <w:p w:rsidR="005D3D1F" w:rsidRDefault="005D3D1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nil"/>
              <w:bottom w:val="nil"/>
              <w:right w:val="single" w:sz="12" w:space="0" w:color="3228B4"/>
            </w:tcBorders>
            <w:shd w:val="clear" w:color="auto" w:fill="FFFFFF"/>
          </w:tcPr>
          <w:p w:rsidR="005D3D1F" w:rsidRDefault="005D3D1F">
            <w:pPr>
              <w:widowControl w:val="0"/>
              <w:autoSpaceDE w:val="0"/>
              <w:autoSpaceDN w:val="0"/>
              <w:adjustRightInd w:val="0"/>
              <w:spacing w:after="0" w:line="240" w:lineRule="auto"/>
              <w:ind w:left="255" w:right="79"/>
              <w:rPr>
                <w:rFonts w:ascii="Arial" w:hAnsi="Arial" w:cs="Arial"/>
                <w:sz w:val="24"/>
                <w:szCs w:val="24"/>
              </w:rPr>
            </w:pPr>
            <w:r>
              <w:rPr>
                <w:rFonts w:ascii="Arial" w:hAnsi="Arial" w:cs="Arial"/>
                <w:color w:val="000000"/>
              </w:rPr>
              <w:t xml:space="preserve"> </w:t>
            </w:r>
          </w:p>
        </w:tc>
        <w:tc>
          <w:tcPr>
            <w:tcW w:w="6872" w:type="dxa"/>
            <w:tcBorders>
              <w:top w:val="nil"/>
              <w:left w:val="single" w:sz="12" w:space="0" w:color="3228B4"/>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color w:val="FFFFFF"/>
              </w:rPr>
            </w:pPr>
            <w:r>
              <w:rPr>
                <w:rFonts w:ascii="Arial" w:hAnsi="Arial" w:cs="Arial"/>
                <w:color w:val="FFFFFF"/>
              </w:rPr>
              <w:t>²</w:t>
            </w:r>
          </w:p>
          <w:p w:rsidR="005D3D1F" w:rsidRDefault="00532DF5" w:rsidP="005D3D1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Coordinateur Missions SPS</w:t>
            </w:r>
          </w:p>
        </w:tc>
      </w:tr>
      <w:tr w:rsidR="005D3D1F">
        <w:tc>
          <w:tcPr>
            <w:tcW w:w="2093" w:type="dxa"/>
            <w:tcBorders>
              <w:top w:val="nil"/>
              <w:left w:val="nil"/>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c>
          <w:tcPr>
            <w:tcW w:w="236" w:type="dxa"/>
            <w:tcBorders>
              <w:top w:val="nil"/>
              <w:left w:val="nil"/>
              <w:bottom w:val="nil"/>
              <w:right w:val="single" w:sz="12" w:space="0" w:color="3228B4"/>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c>
          <w:tcPr>
            <w:tcW w:w="6872" w:type="dxa"/>
            <w:tcBorders>
              <w:top w:val="nil"/>
              <w:left w:val="single" w:sz="12" w:space="0" w:color="3228B4"/>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D3D1F">
        <w:tc>
          <w:tcPr>
            <w:tcW w:w="9212" w:type="dxa"/>
            <w:tcBorders>
              <w:top w:val="nil"/>
              <w:left w:val="nil"/>
              <w:bottom w:val="nil"/>
              <w:right w:val="nil"/>
            </w:tcBorders>
            <w:shd w:val="clear" w:color="auto" w:fill="E7E6E6"/>
          </w:tcPr>
          <w:p w:rsidR="005D3D1F" w:rsidRDefault="005D3D1F">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000000"/>
                <w:sz w:val="40"/>
                <w:szCs w:val="40"/>
              </w:rPr>
              <w:t>Règlement de la consultation (RC)</w:t>
            </w: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963"/>
        <w:gridCol w:w="3544"/>
        <w:gridCol w:w="4662"/>
      </w:tblGrid>
      <w:tr w:rsidR="005D3D1F">
        <w:tc>
          <w:tcPr>
            <w:tcW w:w="963" w:type="dxa"/>
            <w:tcBorders>
              <w:top w:val="nil"/>
              <w:left w:val="nil"/>
              <w:bottom w:val="nil"/>
              <w:right w:val="nil"/>
            </w:tcBorders>
            <w:shd w:val="clear" w:color="auto" w:fill="FFFFFF"/>
            <w:vAlign w:val="center"/>
          </w:tcPr>
          <w:p w:rsidR="005D3D1F" w:rsidRDefault="005D3D1F">
            <w:pPr>
              <w:widowControl w:val="0"/>
              <w:autoSpaceDE w:val="0"/>
              <w:autoSpaceDN w:val="0"/>
              <w:adjustRightInd w:val="0"/>
              <w:spacing w:after="0" w:line="240" w:lineRule="auto"/>
              <w:ind w:left="117" w:right="111"/>
              <w:rPr>
                <w:rFonts w:ascii="Arial" w:hAnsi="Arial" w:cs="Arial"/>
                <w:sz w:val="24"/>
                <w:szCs w:val="24"/>
              </w:rPr>
            </w:pPr>
          </w:p>
        </w:tc>
        <w:tc>
          <w:tcPr>
            <w:tcW w:w="35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11" w:right="101"/>
              <w:jc w:val="right"/>
              <w:rPr>
                <w:rFonts w:ascii="Arial" w:hAnsi="Arial" w:cs="Arial"/>
                <w:sz w:val="24"/>
                <w:szCs w:val="24"/>
              </w:rPr>
            </w:pPr>
            <w:r>
              <w:rPr>
                <w:rFonts w:ascii="Arial" w:hAnsi="Arial" w:cs="Arial"/>
                <w:color w:val="000000"/>
                <w:sz w:val="28"/>
                <w:szCs w:val="28"/>
              </w:rPr>
              <w:t xml:space="preserve">Consultation n° </w:t>
            </w:r>
          </w:p>
        </w:tc>
        <w:tc>
          <w:tcPr>
            <w:tcW w:w="4662" w:type="dxa"/>
            <w:tcBorders>
              <w:top w:val="nil"/>
              <w:left w:val="nil"/>
              <w:bottom w:val="nil"/>
              <w:right w:val="nil"/>
            </w:tcBorders>
            <w:shd w:val="clear" w:color="auto" w:fill="E7E6E6"/>
            <w:vAlign w:val="center"/>
          </w:tcPr>
          <w:p w:rsidR="005D3D1F" w:rsidRDefault="005D3D1F" w:rsidP="00A11DF1">
            <w:pPr>
              <w:widowControl w:val="0"/>
              <w:autoSpaceDE w:val="0"/>
              <w:autoSpaceDN w:val="0"/>
              <w:adjustRightInd w:val="0"/>
              <w:spacing w:before="60" w:after="60" w:line="240" w:lineRule="auto"/>
              <w:ind w:left="427" w:right="99"/>
              <w:rPr>
                <w:rFonts w:ascii="Arial" w:hAnsi="Arial" w:cs="Arial"/>
                <w:sz w:val="24"/>
                <w:szCs w:val="24"/>
              </w:rPr>
            </w:pPr>
            <w:r>
              <w:rPr>
                <w:rFonts w:ascii="Arial" w:hAnsi="Arial" w:cs="Arial"/>
                <w:color w:val="000000"/>
                <w:sz w:val="28"/>
                <w:szCs w:val="28"/>
              </w:rPr>
              <w:t>251</w:t>
            </w:r>
            <w:r w:rsidR="00A11DF1">
              <w:rPr>
                <w:rFonts w:ascii="Arial" w:hAnsi="Arial" w:cs="Arial"/>
                <w:color w:val="000000"/>
                <w:sz w:val="28"/>
                <w:szCs w:val="28"/>
              </w:rPr>
              <w:t>4</w:t>
            </w:r>
            <w:r>
              <w:rPr>
                <w:rFonts w:ascii="Arial" w:hAnsi="Arial" w:cs="Arial"/>
                <w:color w:val="000000"/>
                <w:sz w:val="28"/>
                <w:szCs w:val="28"/>
              </w:rPr>
              <w:t>00</w:t>
            </w:r>
          </w:p>
        </w:tc>
      </w:tr>
      <w:tr w:rsidR="005D3D1F">
        <w:tc>
          <w:tcPr>
            <w:tcW w:w="963" w:type="dxa"/>
            <w:tcBorders>
              <w:top w:val="nil"/>
              <w:left w:val="nil"/>
              <w:bottom w:val="nil"/>
              <w:right w:val="nil"/>
            </w:tcBorders>
            <w:shd w:val="clear" w:color="auto" w:fill="FFFFFF"/>
            <w:vAlign w:val="center"/>
          </w:tcPr>
          <w:p w:rsidR="005D3D1F" w:rsidRDefault="005D3D1F">
            <w:pPr>
              <w:widowControl w:val="0"/>
              <w:autoSpaceDE w:val="0"/>
              <w:autoSpaceDN w:val="0"/>
              <w:adjustRightInd w:val="0"/>
              <w:spacing w:before="60" w:after="60" w:line="240" w:lineRule="auto"/>
              <w:ind w:left="427" w:right="99"/>
              <w:rPr>
                <w:rFonts w:ascii="Arial" w:hAnsi="Arial" w:cs="Arial"/>
                <w:sz w:val="24"/>
                <w:szCs w:val="24"/>
              </w:rPr>
            </w:pPr>
          </w:p>
        </w:tc>
        <w:tc>
          <w:tcPr>
            <w:tcW w:w="35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11" w:right="101"/>
              <w:jc w:val="right"/>
              <w:rPr>
                <w:rFonts w:ascii="Arial" w:hAnsi="Arial" w:cs="Arial"/>
                <w:sz w:val="24"/>
                <w:szCs w:val="24"/>
              </w:rPr>
            </w:pPr>
            <w:r>
              <w:rPr>
                <w:rFonts w:ascii="Arial" w:hAnsi="Arial" w:cs="Arial"/>
                <w:color w:val="000000"/>
                <w:sz w:val="24"/>
                <w:szCs w:val="24"/>
              </w:rPr>
              <w:t>Date limite de remise des plis</w:t>
            </w:r>
          </w:p>
        </w:tc>
        <w:tc>
          <w:tcPr>
            <w:tcW w:w="4662" w:type="dxa"/>
            <w:tcBorders>
              <w:top w:val="nil"/>
              <w:left w:val="nil"/>
              <w:bottom w:val="nil"/>
              <w:right w:val="nil"/>
            </w:tcBorders>
            <w:shd w:val="clear" w:color="auto" w:fill="E7E6E6"/>
            <w:vAlign w:val="center"/>
          </w:tcPr>
          <w:p w:rsidR="005D2B2D" w:rsidRPr="005D2B2D" w:rsidRDefault="00D22E0A" w:rsidP="00BF5152">
            <w:pPr>
              <w:widowControl w:val="0"/>
              <w:autoSpaceDE w:val="0"/>
              <w:autoSpaceDN w:val="0"/>
              <w:adjustRightInd w:val="0"/>
              <w:spacing w:before="60" w:after="60" w:line="240" w:lineRule="auto"/>
              <w:ind w:left="427" w:right="99"/>
              <w:rPr>
                <w:rFonts w:eastAsia="Verdana" w:cstheme="minorHAnsi"/>
                <w:i/>
              </w:rPr>
            </w:pPr>
            <w:r>
              <w:rPr>
                <w:rFonts w:eastAsia="Verdana" w:cstheme="minorHAnsi"/>
                <w:i/>
              </w:rPr>
              <w:t>09</w:t>
            </w:r>
            <w:r w:rsidR="005D2B2D" w:rsidRPr="005D2B2D">
              <w:rPr>
                <w:rFonts w:eastAsia="Verdana" w:cstheme="minorHAnsi"/>
                <w:i/>
              </w:rPr>
              <w:t xml:space="preserve">/07/2025 </w:t>
            </w:r>
          </w:p>
          <w:p w:rsidR="005D2B2D" w:rsidRPr="005D2B2D" w:rsidRDefault="005D2B2D" w:rsidP="00BF5152">
            <w:pPr>
              <w:widowControl w:val="0"/>
              <w:autoSpaceDE w:val="0"/>
              <w:autoSpaceDN w:val="0"/>
              <w:adjustRightInd w:val="0"/>
              <w:spacing w:before="60" w:after="60" w:line="240" w:lineRule="auto"/>
              <w:ind w:left="427" w:right="99"/>
              <w:rPr>
                <w:rFonts w:eastAsia="Verdana" w:cstheme="minorHAnsi"/>
                <w:i/>
              </w:rPr>
            </w:pPr>
            <w:r w:rsidRPr="005D2B2D">
              <w:rPr>
                <w:rFonts w:eastAsia="Verdana" w:cstheme="minorHAnsi"/>
                <w:i/>
              </w:rPr>
              <w:t>12:00 heure Martinique</w:t>
            </w:r>
          </w:p>
          <w:p w:rsidR="005D3D1F" w:rsidRPr="005D2B2D" w:rsidRDefault="005D2B2D" w:rsidP="005D2B2D">
            <w:pPr>
              <w:widowControl w:val="0"/>
              <w:autoSpaceDE w:val="0"/>
              <w:autoSpaceDN w:val="0"/>
              <w:adjustRightInd w:val="0"/>
              <w:spacing w:before="60" w:after="60" w:line="240" w:lineRule="auto"/>
              <w:ind w:left="427" w:right="99"/>
              <w:rPr>
                <w:rFonts w:eastAsia="Verdana" w:cstheme="minorHAnsi"/>
                <w:i/>
              </w:rPr>
            </w:pPr>
            <w:r w:rsidRPr="005D2B2D">
              <w:rPr>
                <w:rFonts w:eastAsia="Verdana" w:cstheme="minorHAnsi"/>
                <w:i/>
              </w:rPr>
              <w:t xml:space="preserve">18 :00 heure de Paris </w:t>
            </w:r>
          </w:p>
        </w:tc>
      </w:tr>
    </w:tbl>
    <w:p w:rsidR="005D3D1F" w:rsidRDefault="005D3D1F">
      <w:pPr>
        <w:widowControl w:val="0"/>
        <w:autoSpaceDE w:val="0"/>
        <w:autoSpaceDN w:val="0"/>
        <w:adjustRightInd w:val="0"/>
        <w:ind w:left="117" w:right="111"/>
        <w:rPr>
          <w:rFonts w:ascii="Arial" w:hAnsi="Arial" w:cs="Arial"/>
          <w:color w:val="000000"/>
        </w:rPr>
      </w:pPr>
    </w:p>
    <w:p w:rsidR="005D3D1F" w:rsidRDefault="005D3D1F">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OBJET DU CONTRAT</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Caisse Générale de Sécurité Sociale de la Martinique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Caisse Générale de Sécurité Sociale de la Martinique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Adresse : Siège de Place d'Armes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97210 LAMENTIN</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Sylvie PRESENT Responsable Département Marchés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0596665089</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marchespublics@cgss-martinique.fr</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 les prestations suivantes :</w:t>
      </w:r>
      <w:r w:rsidR="00532DF5" w:rsidRPr="00532DF5">
        <w:rPr>
          <w:rFonts w:ascii="Arial" w:eastAsia="Times New Roman" w:hAnsi="Arial"/>
        </w:rPr>
        <w:t xml:space="preserve"> </w:t>
      </w:r>
      <w:r w:rsidR="00532DF5" w:rsidRPr="00532DF5">
        <w:rPr>
          <w:rFonts w:ascii="Arial" w:hAnsi="Arial" w:cs="Arial"/>
          <w:color w:val="000000"/>
          <w:sz w:val="20"/>
          <w:szCs w:val="20"/>
        </w:rPr>
        <w:t xml:space="preserve">la réalisation de missions de Coordination en matière de Sécurité et de Protection de la Santé (SPS) dans le cadre des travaux de construction, de rénovation, ou de maintenance réalisés sur les sites du maître d’ouvrage, </w:t>
      </w:r>
      <w:r>
        <w:rPr>
          <w:rFonts w:ascii="Arial" w:hAnsi="Arial" w:cs="Arial"/>
          <w:color w:val="000000"/>
          <w:sz w:val="20"/>
          <w:szCs w:val="20"/>
        </w:rPr>
        <w:t>la Caisse Générale de Sécurité Sociale</w:t>
      </w:r>
      <w:r w:rsidR="00532DF5">
        <w:rPr>
          <w:rFonts w:ascii="Arial" w:hAnsi="Arial" w:cs="Arial"/>
          <w:color w:val="000000"/>
          <w:sz w:val="20"/>
          <w:szCs w:val="20"/>
        </w:rPr>
        <w:t xml:space="preserve"> de la Martinique</w:t>
      </w:r>
      <w:r>
        <w:rPr>
          <w:rFonts w:ascii="Arial" w:hAnsi="Arial" w:cs="Arial"/>
          <w:color w:val="000000"/>
          <w:sz w:val="20"/>
          <w:szCs w:val="20"/>
        </w:rPr>
        <w:t xml:space="preserve"> (CGSSM)</w:t>
      </w:r>
      <w:r w:rsidR="00532DF5">
        <w:rPr>
          <w:rFonts w:ascii="Arial" w:hAnsi="Arial" w:cs="Arial"/>
          <w:color w:val="000000"/>
          <w:sz w:val="20"/>
          <w:szCs w:val="20"/>
        </w:rPr>
        <w:t>.</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2269"/>
        <w:gridCol w:w="6384"/>
      </w:tblGrid>
      <w:tr w:rsidR="005D3D1F">
        <w:tc>
          <w:tcPr>
            <w:tcW w:w="2269" w:type="dxa"/>
            <w:tcBorders>
              <w:top w:val="nil"/>
              <w:left w:val="nil"/>
              <w:bottom w:val="nil"/>
              <w:right w:val="nil"/>
            </w:tcBorders>
            <w:shd w:val="clear" w:color="auto" w:fill="E7E6E6"/>
          </w:tcPr>
          <w:p w:rsidR="005D3D1F" w:rsidRDefault="005D3D1F">
            <w:pPr>
              <w:widowControl w:val="0"/>
              <w:autoSpaceDE w:val="0"/>
              <w:autoSpaceDN w:val="0"/>
              <w:adjustRightInd w:val="0"/>
              <w:spacing w:before="40" w:after="40" w:line="240" w:lineRule="auto"/>
              <w:ind w:left="108" w:right="132"/>
              <w:rPr>
                <w:rFonts w:ascii="Arial" w:hAnsi="Arial" w:cs="Arial"/>
                <w:sz w:val="24"/>
                <w:szCs w:val="24"/>
              </w:rPr>
            </w:pPr>
            <w:r>
              <w:rPr>
                <w:rFonts w:ascii="Arial" w:hAnsi="Arial" w:cs="Arial"/>
                <w:color w:val="000000"/>
                <w:sz w:val="18"/>
                <w:szCs w:val="18"/>
              </w:rPr>
              <w:t>Type de contrat</w:t>
            </w:r>
          </w:p>
        </w:tc>
        <w:tc>
          <w:tcPr>
            <w:tcW w:w="6384" w:type="dxa"/>
            <w:tcBorders>
              <w:top w:val="nil"/>
              <w:left w:val="nil"/>
              <w:bottom w:val="nil"/>
              <w:right w:val="nil"/>
            </w:tcBorders>
            <w:shd w:val="clear" w:color="auto" w:fill="F2F2F2"/>
          </w:tcPr>
          <w:p w:rsidR="005D3D1F" w:rsidRDefault="005D3D1F" w:rsidP="005D3D1F">
            <w:pPr>
              <w:widowControl w:val="0"/>
              <w:autoSpaceDE w:val="0"/>
              <w:autoSpaceDN w:val="0"/>
              <w:adjustRightInd w:val="0"/>
              <w:spacing w:before="40" w:after="40" w:line="240" w:lineRule="auto"/>
              <w:ind w:left="259" w:right="268"/>
              <w:rPr>
                <w:rFonts w:ascii="Arial" w:hAnsi="Arial" w:cs="Arial"/>
                <w:sz w:val="24"/>
                <w:szCs w:val="24"/>
              </w:rPr>
            </w:pPr>
            <w:r>
              <w:rPr>
                <w:rFonts w:ascii="Arial" w:hAnsi="Arial" w:cs="Arial"/>
                <w:color w:val="000000"/>
                <w:sz w:val="18"/>
                <w:szCs w:val="18"/>
              </w:rPr>
              <w:t>Accord-cadre à bons de commande sans minimum avec maximum mono-attributaire de services</w:t>
            </w:r>
          </w:p>
        </w:tc>
      </w:tr>
      <w:tr w:rsidR="005D3D1F">
        <w:tc>
          <w:tcPr>
            <w:tcW w:w="2269" w:type="dxa"/>
            <w:tcBorders>
              <w:top w:val="nil"/>
              <w:left w:val="nil"/>
              <w:bottom w:val="nil"/>
              <w:right w:val="nil"/>
            </w:tcBorders>
            <w:shd w:val="clear" w:color="auto" w:fill="E7E6E6"/>
          </w:tcPr>
          <w:p w:rsidR="005D3D1F" w:rsidRDefault="005D3D1F">
            <w:pPr>
              <w:widowControl w:val="0"/>
              <w:autoSpaceDE w:val="0"/>
              <w:autoSpaceDN w:val="0"/>
              <w:adjustRightInd w:val="0"/>
              <w:spacing w:before="40" w:after="40" w:line="240" w:lineRule="auto"/>
              <w:ind w:left="108" w:right="132"/>
              <w:rPr>
                <w:rFonts w:ascii="Arial" w:hAnsi="Arial" w:cs="Arial"/>
                <w:sz w:val="24"/>
                <w:szCs w:val="24"/>
              </w:rPr>
            </w:pPr>
            <w:r>
              <w:rPr>
                <w:rFonts w:ascii="Arial" w:hAnsi="Arial" w:cs="Arial"/>
                <w:color w:val="000000"/>
                <w:sz w:val="18"/>
                <w:szCs w:val="18"/>
              </w:rPr>
              <w:t>Structure</w:t>
            </w:r>
          </w:p>
        </w:tc>
        <w:tc>
          <w:tcPr>
            <w:tcW w:w="6384" w:type="dxa"/>
            <w:tcBorders>
              <w:top w:val="nil"/>
              <w:left w:val="nil"/>
              <w:bottom w:val="nil"/>
              <w:right w:val="nil"/>
            </w:tcBorders>
            <w:shd w:val="clear" w:color="auto" w:fill="F2F2F2"/>
          </w:tcPr>
          <w:p w:rsidR="005D3D1F" w:rsidRDefault="005D3D1F">
            <w:pPr>
              <w:widowControl w:val="0"/>
              <w:autoSpaceDE w:val="0"/>
              <w:autoSpaceDN w:val="0"/>
              <w:adjustRightInd w:val="0"/>
              <w:spacing w:before="40" w:after="40" w:line="240" w:lineRule="auto"/>
              <w:ind w:left="259" w:right="268"/>
              <w:rPr>
                <w:rFonts w:ascii="Arial" w:hAnsi="Arial" w:cs="Arial"/>
                <w:sz w:val="24"/>
                <w:szCs w:val="24"/>
              </w:rPr>
            </w:pPr>
            <w:r>
              <w:rPr>
                <w:rFonts w:ascii="Arial" w:hAnsi="Arial" w:cs="Arial"/>
                <w:color w:val="000000"/>
                <w:sz w:val="18"/>
                <w:szCs w:val="18"/>
              </w:rPr>
              <w:t>Lot unique</w:t>
            </w:r>
          </w:p>
        </w:tc>
      </w:tr>
      <w:tr w:rsidR="005D3D1F">
        <w:tc>
          <w:tcPr>
            <w:tcW w:w="2269" w:type="dxa"/>
            <w:tcBorders>
              <w:top w:val="nil"/>
              <w:left w:val="nil"/>
              <w:bottom w:val="nil"/>
              <w:right w:val="nil"/>
            </w:tcBorders>
            <w:shd w:val="clear" w:color="auto" w:fill="E7E6E6"/>
          </w:tcPr>
          <w:p w:rsidR="005D3D1F" w:rsidRDefault="005D3D1F">
            <w:pPr>
              <w:widowControl w:val="0"/>
              <w:autoSpaceDE w:val="0"/>
              <w:autoSpaceDN w:val="0"/>
              <w:adjustRightInd w:val="0"/>
              <w:spacing w:before="40" w:after="40" w:line="240" w:lineRule="auto"/>
              <w:ind w:left="108" w:right="132"/>
              <w:rPr>
                <w:rFonts w:ascii="Arial" w:hAnsi="Arial" w:cs="Arial"/>
                <w:sz w:val="24"/>
                <w:szCs w:val="24"/>
              </w:rPr>
            </w:pPr>
            <w:r>
              <w:rPr>
                <w:rFonts w:ascii="Arial" w:hAnsi="Arial" w:cs="Arial"/>
                <w:color w:val="000000"/>
                <w:sz w:val="18"/>
                <w:szCs w:val="18"/>
              </w:rPr>
              <w:t>Lieu d’exécution</w:t>
            </w:r>
          </w:p>
        </w:tc>
        <w:tc>
          <w:tcPr>
            <w:tcW w:w="6384" w:type="dxa"/>
            <w:tcBorders>
              <w:top w:val="nil"/>
              <w:left w:val="nil"/>
              <w:bottom w:val="nil"/>
              <w:right w:val="nil"/>
            </w:tcBorders>
            <w:shd w:val="clear" w:color="auto" w:fill="F2F2F2"/>
          </w:tcPr>
          <w:p w:rsidR="005D3D1F" w:rsidRDefault="005D3D1F">
            <w:pPr>
              <w:widowControl w:val="0"/>
              <w:autoSpaceDE w:val="0"/>
              <w:autoSpaceDN w:val="0"/>
              <w:adjustRightInd w:val="0"/>
              <w:spacing w:before="40" w:after="40" w:line="240" w:lineRule="auto"/>
              <w:ind w:left="259" w:right="268"/>
              <w:rPr>
                <w:rFonts w:ascii="Arial" w:hAnsi="Arial" w:cs="Arial"/>
                <w:color w:val="000000"/>
                <w:sz w:val="18"/>
                <w:szCs w:val="18"/>
              </w:rPr>
            </w:pPr>
          </w:p>
        </w:tc>
      </w:tr>
      <w:tr w:rsidR="005D3D1F">
        <w:tc>
          <w:tcPr>
            <w:tcW w:w="2269" w:type="dxa"/>
            <w:tcBorders>
              <w:top w:val="nil"/>
              <w:left w:val="nil"/>
              <w:bottom w:val="nil"/>
              <w:right w:val="nil"/>
            </w:tcBorders>
            <w:shd w:val="clear" w:color="auto" w:fill="E7E6E6"/>
          </w:tcPr>
          <w:p w:rsidR="005D3D1F" w:rsidRDefault="005D3D1F">
            <w:pPr>
              <w:widowControl w:val="0"/>
              <w:autoSpaceDE w:val="0"/>
              <w:autoSpaceDN w:val="0"/>
              <w:adjustRightInd w:val="0"/>
              <w:spacing w:before="40" w:after="40" w:line="240" w:lineRule="auto"/>
              <w:ind w:left="108" w:right="132"/>
              <w:rPr>
                <w:rFonts w:ascii="Arial" w:hAnsi="Arial" w:cs="Arial"/>
                <w:sz w:val="24"/>
                <w:szCs w:val="24"/>
              </w:rPr>
            </w:pPr>
            <w:r>
              <w:rPr>
                <w:rFonts w:ascii="Arial" w:hAnsi="Arial" w:cs="Arial"/>
                <w:color w:val="000000"/>
                <w:sz w:val="18"/>
                <w:szCs w:val="18"/>
              </w:rPr>
              <w:t>Durée</w:t>
            </w:r>
          </w:p>
        </w:tc>
        <w:tc>
          <w:tcPr>
            <w:tcW w:w="6384" w:type="dxa"/>
            <w:tcBorders>
              <w:top w:val="nil"/>
              <w:left w:val="nil"/>
              <w:bottom w:val="nil"/>
              <w:right w:val="nil"/>
            </w:tcBorders>
            <w:shd w:val="clear" w:color="auto" w:fill="F2F2F2"/>
          </w:tcPr>
          <w:p w:rsidR="005D3D1F" w:rsidRDefault="005D3D1F">
            <w:pPr>
              <w:widowControl w:val="0"/>
              <w:autoSpaceDE w:val="0"/>
              <w:autoSpaceDN w:val="0"/>
              <w:adjustRightInd w:val="0"/>
              <w:spacing w:before="40" w:after="40" w:line="240" w:lineRule="auto"/>
              <w:ind w:left="259" w:right="268"/>
              <w:rPr>
                <w:rFonts w:ascii="Arial" w:hAnsi="Arial" w:cs="Arial"/>
                <w:sz w:val="24"/>
                <w:szCs w:val="24"/>
              </w:rPr>
            </w:pPr>
            <w:r>
              <w:rPr>
                <w:rFonts w:ascii="Arial" w:hAnsi="Arial" w:cs="Arial"/>
                <w:color w:val="000000"/>
                <w:sz w:val="18"/>
                <w:szCs w:val="18"/>
              </w:rPr>
              <w:t>3 An(s)</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consultation n’est pas décomposée en lots pour les motifs suivants : </w:t>
      </w:r>
      <w:r w:rsidR="00936B8C" w:rsidRPr="00936B8C">
        <w:rPr>
          <w:rFonts w:ascii="Arial" w:hAnsi="Arial" w:cs="Arial"/>
          <w:color w:val="000000"/>
          <w:sz w:val="20"/>
          <w:szCs w:val="20"/>
        </w:rPr>
        <w:t>la prestation intellectuelle, parce que globale, n’est pas allotie.</w:t>
      </w:r>
      <w:r>
        <w:rPr>
          <w:rFonts w:ascii="Arial" w:hAnsi="Arial" w:cs="Arial"/>
          <w:color w:val="000000"/>
          <w:sz w:val="20"/>
          <w:szCs w:val="20"/>
        </w:rPr>
        <w:t xml:space="preserve"> </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CARACTERISTIQUES DE LA PROCEDURE</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variantes à l’initiative des candidats ne sont pas autorisées.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 xml:space="preserve">En cas de candidature groupée, conformément à l’article R. 2151-7 du Code de la commande publique, un même candidat </w:t>
      </w:r>
      <w:r w:rsidRPr="00FF3FC2">
        <w:rPr>
          <w:rFonts w:ascii="Arial" w:eastAsia="Calibri" w:hAnsi="Arial" w:cs="Arial"/>
          <w:b/>
          <w:sz w:val="20"/>
          <w:szCs w:val="20"/>
          <w:lang w:eastAsia="en-US"/>
        </w:rPr>
        <w:t>ne peut pas présenter une offre individuelle et une offre groupée</w:t>
      </w:r>
      <w:r w:rsidRPr="00FF3FC2">
        <w:rPr>
          <w:rFonts w:ascii="Arial" w:eastAsia="Calibri" w:hAnsi="Arial" w:cs="Arial"/>
          <w:sz w:val="20"/>
          <w:szCs w:val="20"/>
          <w:lang w:eastAsia="en-US"/>
        </w:rPr>
        <w:t xml:space="preserve"> dans le cadre de la présente consultation, ni plusieurs candidatures (individuelles ou groupées).</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Les candidatures et les offres sont présentées soit par l’ensemble des membres du groupement, soit par un mandataire qui justifie des habilitations nécessaires pour représenter les autres membres du groupement.</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Conformément aux articles R. 2143-11 et R. 2143-12 du Code de la commande publique, si le candidat s’appuie sur les capacités d’autres opérateurs économiques, il justifie des capacités de ce ou ces opérateurs économiques et apporte la preuve qu’il en disposera pour l’exécution du marché public.</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 xml:space="preserve">Conformément à l’article R. 2142-25 du Code de la commande publique, l’appréciation des capacités d’un groupement d’opérateurs économiques est globale. </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Conformément à l’article R. 2142-22 du Code de la commande publique, aucune forme juridique du groupement n’est imposée</w:t>
      </w:r>
      <w:r>
        <w:rPr>
          <w:rFonts w:ascii="Arial" w:eastAsia="Calibri" w:hAnsi="Arial" w:cs="Arial"/>
          <w:sz w:val="20"/>
          <w:szCs w:val="20"/>
          <w:lang w:eastAsia="en-US"/>
        </w:rPr>
        <w:t xml:space="preserve"> après attribution</w:t>
      </w:r>
      <w:r w:rsidRPr="00FF3FC2">
        <w:rPr>
          <w:rFonts w:ascii="Arial" w:eastAsia="Calibri" w:hAnsi="Arial" w:cs="Arial"/>
          <w:sz w:val="20"/>
          <w:szCs w:val="20"/>
          <w:lang w:eastAsia="en-US"/>
        </w:rPr>
        <w:t>.</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 groupement est conjoint lorsque chacun des opérateurs économiques membres du groupement s’engage à exécuter la ou les prestations qui sont susceptibles de lui être attribués dans le marché.</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 groupement est solidaire lorsque chacun des opérateurs économiques membres du groupement est engagé financièrement pour la totalité du marché.</w:t>
      </w:r>
    </w:p>
    <w:p w:rsidR="00FF3FC2" w:rsidRDefault="00FF3FC2" w:rsidP="00FF3FC2">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 :</w:t>
      </w:r>
    </w:p>
    <w:p w:rsidR="00FF3FC2" w:rsidRPr="00FF3FC2" w:rsidRDefault="00FF3FC2" w:rsidP="00FF3FC2">
      <w:pPr>
        <w:widowControl w:val="0"/>
        <w:autoSpaceDE w:val="0"/>
        <w:autoSpaceDN w:val="0"/>
        <w:adjustRightInd w:val="0"/>
        <w:spacing w:before="120" w:after="0" w:line="240" w:lineRule="auto"/>
        <w:jc w:val="both"/>
        <w:rPr>
          <w:rFonts w:ascii="Arial" w:hAnsi="Arial" w:cs="Arial"/>
          <w:sz w:val="20"/>
          <w:szCs w:val="20"/>
        </w:rPr>
      </w:pPr>
      <w:r w:rsidRPr="00FF3FC2">
        <w:rPr>
          <w:rFonts w:ascii="Arial" w:hAnsi="Arial" w:cs="Arial"/>
          <w:sz w:val="20"/>
          <w:szCs w:val="20"/>
        </w:rPr>
        <w:t>Il est fait application des articles L. 2193-1 à L. 2193-14 et R. 2193-1 à R. 2193-22 du Code de la commande publique.</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Le candidat doit fournir à la personne publique contractante le DC4 dûment signé, ou une déclaration signée mentionnant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La nature et le montant des prestations sous-traitées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 nom, la raison ou la dénomination sociale et l’adresse du sous-traitant proposé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Les conditions de paiement prévues par le projet de contrat de sous-traitance, et, le cas échéant, les modalités de variation des prix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Les capacités techniques professionnelles et financières du sous-traitant.</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Il est à noter que le Titulaire pourra sous-traiter l’exécution de certaines prestations, sous réserve de l’acceptation du ou des sous-traitant(s) par la CGSS et de l’agrément par elle des conditions de paiements, conformément à la loi n° 75-1334 du 31 décembre 1975 modifiée relative à la sous-traitance et codifiée dans les articles précités du code de la commande publique.</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En cas de recours à la sous-traitance, le Titulaire s’engage à faire respecter à ses sous-traitants l’ensemble des clauses du marché. Le Titulaire demeure entièrement responsable vis-à-vis de la CGSS des prestations sous-traitées.</w:t>
      </w:r>
    </w:p>
    <w:p w:rsidR="00FF3FC2" w:rsidRPr="00FF3FC2" w:rsidRDefault="00FF3FC2" w:rsidP="00FF3FC2">
      <w:pPr>
        <w:widowControl w:val="0"/>
        <w:autoSpaceDE w:val="0"/>
        <w:autoSpaceDN w:val="0"/>
        <w:adjustRightInd w:val="0"/>
        <w:spacing w:after="120" w:line="240" w:lineRule="auto"/>
        <w:jc w:val="both"/>
        <w:rPr>
          <w:rFonts w:ascii="Arial" w:eastAsia="Calibri" w:hAnsi="Arial" w:cs="Arial"/>
          <w:b/>
          <w:sz w:val="20"/>
          <w:szCs w:val="20"/>
          <w:lang w:eastAsia="en-US"/>
        </w:rPr>
      </w:pPr>
      <w:r w:rsidRPr="00FF3FC2">
        <w:rPr>
          <w:rFonts w:ascii="Arial" w:eastAsia="Calibri" w:hAnsi="Arial" w:cs="Arial"/>
          <w:b/>
          <w:sz w:val="20"/>
          <w:szCs w:val="20"/>
          <w:lang w:eastAsia="en-US"/>
        </w:rPr>
        <w:t>La sous-traitance de la totalité du marché est interdite.</w:t>
      </w:r>
    </w:p>
    <w:p w:rsidR="005D3D1F" w:rsidRDefault="005D3D1F" w:rsidP="00FF3FC2">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w:t>
      </w:r>
      <w:r>
        <w:rPr>
          <w:rFonts w:ascii="Arial" w:hAnsi="Arial" w:cs="Arial"/>
          <w:color w:val="FF0000"/>
          <w:sz w:val="20"/>
          <w:szCs w:val="20"/>
        </w:rPr>
        <w:t xml:space="preserve"> </w:t>
      </w:r>
      <w:r>
        <w:rPr>
          <w:rFonts w:ascii="Arial" w:hAnsi="Arial" w:cs="Arial"/>
          <w:color w:val="000000"/>
          <w:sz w:val="20"/>
          <w:szCs w:val="20"/>
        </w:rPr>
        <w:t>à compter de la date limite de réception des offres.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F3FC2" w:rsidRPr="00FF3FC2" w:rsidRDefault="00FF3FC2" w:rsidP="00FF3FC2">
      <w:pPr>
        <w:spacing w:before="120"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En application de l’article R. 2132-1 du Code de la commande publique, la consultation fait l’objet d’une procédure dématérialisée.</w:t>
      </w:r>
    </w:p>
    <w:p w:rsidR="008512F0" w:rsidRDefault="00FF3FC2" w:rsidP="00532DF5">
      <w:pPr>
        <w:widowControl w:val="0"/>
        <w:tabs>
          <w:tab w:val="left" w:pos="392"/>
        </w:tabs>
        <w:autoSpaceDE w:val="0"/>
        <w:autoSpaceDN w:val="0"/>
        <w:adjustRightInd w:val="0"/>
        <w:spacing w:after="0" w:line="240" w:lineRule="auto"/>
        <w:ind w:right="111"/>
        <w:jc w:val="both"/>
        <w:rPr>
          <w:rFonts w:ascii="Arial" w:hAnsi="Arial" w:cs="Arial"/>
          <w:sz w:val="24"/>
          <w:szCs w:val="24"/>
        </w:rPr>
      </w:pPr>
      <w:r w:rsidRPr="00FF3FC2">
        <w:rPr>
          <w:rFonts w:ascii="Arial" w:eastAsia="Calibri" w:hAnsi="Arial" w:cs="Arial"/>
          <w:sz w:val="20"/>
          <w:szCs w:val="20"/>
          <w:lang w:eastAsia="zh-CN"/>
        </w:rPr>
        <w:t xml:space="preserve">Cette procédure oblige les candidats à télécharger les documents du dossier de consultation (DCE) uniquement via le site </w:t>
      </w:r>
      <w:r w:rsidR="008512F0" w:rsidRPr="0083051E">
        <w:rPr>
          <w:rFonts w:ascii="Arial" w:hAnsi="Arial" w:cs="Arial"/>
          <w:color w:val="2F5496"/>
          <w:sz w:val="20"/>
          <w:szCs w:val="20"/>
          <w:u w:val="single"/>
        </w:rPr>
        <w:t>https://www.marches-publics.gouv.fr</w:t>
      </w:r>
      <w:r w:rsidR="008512F0" w:rsidRPr="0083051E">
        <w:rPr>
          <w:rFonts w:ascii="Arial" w:hAnsi="Arial" w:cs="Arial"/>
          <w:color w:val="000000"/>
          <w:sz w:val="20"/>
          <w:szCs w:val="20"/>
        </w:rPr>
        <w:t>.</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Le candidat devra fournir un dossier complet, lisible et en français, comprenant les pièces énoncées infra.</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 xml:space="preserve">Les soumissionnaires désignent, dans les documents transmis, la personne habilitée à les représenter. </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Le ou les signataires doivent être habilités à engager l’entreprise.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936B8C" w:rsidRPr="004C6DAA" w:rsidRDefault="00936B8C" w:rsidP="00936B8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4C6DAA">
        <w:rPr>
          <w:rFonts w:ascii="Arial" w:hAnsi="Arial" w:cs="Arial"/>
          <w:color w:val="000000"/>
          <w:kern w:val="3"/>
          <w:sz w:val="20"/>
          <w:szCs w:val="20"/>
          <w:lang w:eastAsia="zh-CN"/>
        </w:rPr>
        <w:t>Le Règlement de la Consultation,</w:t>
      </w:r>
    </w:p>
    <w:p w:rsidR="00936B8C" w:rsidRPr="004C6DAA" w:rsidRDefault="00936B8C" w:rsidP="00936B8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4C6DAA">
        <w:rPr>
          <w:rFonts w:ascii="Arial" w:hAnsi="Arial" w:cs="Arial"/>
          <w:color w:val="000000"/>
          <w:kern w:val="3"/>
          <w:sz w:val="20"/>
          <w:szCs w:val="20"/>
          <w:lang w:eastAsia="zh-CN"/>
        </w:rPr>
        <w:t xml:space="preserve">Le </w:t>
      </w:r>
      <w:r w:rsidRPr="004C6DAA">
        <w:rPr>
          <w:rFonts w:ascii="Arial" w:hAnsi="Arial" w:cs="Arial"/>
          <w:kern w:val="3"/>
          <w:sz w:val="20"/>
          <w:szCs w:val="20"/>
          <w:lang w:eastAsia="zh-CN"/>
        </w:rPr>
        <w:t xml:space="preserve">Cahier des Clauses Particulières valant Acte d’engagement, </w:t>
      </w:r>
    </w:p>
    <w:p w:rsidR="00936B8C" w:rsidRPr="004C6DAA" w:rsidRDefault="00936B8C" w:rsidP="00936B8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4C6DAA">
        <w:rPr>
          <w:rFonts w:ascii="Arial" w:hAnsi="Arial" w:cs="Arial"/>
          <w:kern w:val="3"/>
          <w:sz w:val="20"/>
          <w:szCs w:val="20"/>
          <w:lang w:eastAsia="zh-CN"/>
        </w:rPr>
        <w:t>La Cahier des Clauses Techniques Particulières,</w:t>
      </w:r>
    </w:p>
    <w:p w:rsidR="005D3D1F" w:rsidRPr="004C6DAA" w:rsidRDefault="00936B8C" w:rsidP="00936B8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4C6DAA">
        <w:rPr>
          <w:rFonts w:ascii="Arial" w:hAnsi="Arial" w:cs="Arial"/>
          <w:sz w:val="20"/>
          <w:szCs w:val="20"/>
        </w:rPr>
        <w:t>La déclaration sur l’honneur travail dissimulé</w:t>
      </w:r>
    </w:p>
    <w:p w:rsidR="00936B8C" w:rsidRDefault="00936B8C">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des modifications de détail sur le dossier de consultation. Les candidats devront alors répondre sur la base du dossier de consultation modifié.</w:t>
      </w:r>
      <w:r>
        <w:rPr>
          <w:rFonts w:ascii="Arial" w:hAnsi="Arial" w:cs="Arial"/>
          <w:b/>
          <w:bCs/>
          <w:color w:val="000000"/>
          <w:sz w:val="20"/>
          <w:szCs w:val="20"/>
        </w:rPr>
        <w:t xml:space="preserve"> </w:t>
      </w:r>
      <w:r>
        <w:rPr>
          <w:rFonts w:ascii="Arial" w:hAnsi="Arial" w:cs="Arial"/>
          <w:color w:val="000000"/>
          <w:sz w:val="20"/>
          <w:szCs w:val="20"/>
        </w:rPr>
        <w:t>Les offres ne répondant pas au cahier des charges modifié seront déclarées irrégulières.</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PRESENTATION DES PROPOSITIONS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512F0" w:rsidRDefault="005D3D1F" w:rsidP="008512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sidR="008512F0" w:rsidRPr="0083051E">
        <w:rPr>
          <w:rFonts w:ascii="Arial" w:hAnsi="Arial" w:cs="Arial"/>
          <w:color w:val="2F5496"/>
          <w:sz w:val="20"/>
          <w:szCs w:val="20"/>
          <w:u w:val="single"/>
        </w:rPr>
        <w:t>https://www.marches-publics.gouv.fr</w:t>
      </w:r>
      <w:r w:rsidR="008512F0" w:rsidRPr="0083051E">
        <w:rPr>
          <w:rFonts w:ascii="Arial" w:hAnsi="Arial" w:cs="Arial"/>
          <w:color w:val="000000"/>
          <w:sz w:val="20"/>
          <w:szCs w:val="20"/>
        </w:rPr>
        <w:t>.</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Siège de Place d'Armes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Hall 3 ; Niveau -1 ; Couloir 6</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97210 LAMENTIN Cedex 02</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Contact : Département Marchés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0596665101</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marchespublics@cgss-martinique.fr</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Seules les copies de sauvegarde peuvent être transmises à cette adresse.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transmises dans des conditions qui permettent d’authentifier la signature du candidat selon les exigences posées par les dispositions législatives et réglementaires. La transmission doit pouvoir faire l’objet d’une date certaine de réception et d’un accusé de réception électronique. Les plis transmis par voie électronique sont horodatés. </w:t>
      </w:r>
    </w:p>
    <w:p w:rsidR="002B660C" w:rsidRDefault="002B660C" w:rsidP="002B660C">
      <w:pPr>
        <w:widowControl w:val="0"/>
        <w:shd w:val="clear" w:color="auto" w:fill="FFFFFF"/>
        <w:autoSpaceDE w:val="0"/>
        <w:autoSpaceDN w:val="0"/>
        <w:adjustRightInd w:val="0"/>
        <w:spacing w:after="120" w:line="240" w:lineRule="auto"/>
        <w:jc w:val="both"/>
        <w:rPr>
          <w:rFonts w:ascii="Arial" w:eastAsia="Times New Roman" w:hAnsi="Arial" w:cs="Arial"/>
          <w:color w:val="000000"/>
        </w:rPr>
      </w:pPr>
    </w:p>
    <w:p w:rsidR="008512F0" w:rsidRDefault="002B660C" w:rsidP="008512F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B660C">
        <w:rPr>
          <w:rFonts w:ascii="Arial" w:eastAsia="Times New Roman" w:hAnsi="Arial" w:cs="Arial"/>
          <w:color w:val="000000"/>
          <w:sz w:val="20"/>
          <w:szCs w:val="20"/>
        </w:rPr>
        <w:t xml:space="preserve">Conformément à l'article R. 2137-2 du Code de la commande publique, les offres seront transmises par les entreprises par voie électronique. Sous peine de rejet de leur dossier, les candidats doivent impérativement déposer une offre complète, lisible et en français sur la plateforme de dématérialisation </w:t>
      </w:r>
      <w:hyperlink r:id="rId8" w:history="1">
        <w:r w:rsidR="008512F0" w:rsidRPr="00ED2697">
          <w:rPr>
            <w:rStyle w:val="Lienhypertexte"/>
            <w:rFonts w:ascii="Arial" w:hAnsi="Arial" w:cs="Arial"/>
            <w:sz w:val="20"/>
            <w:szCs w:val="20"/>
          </w:rPr>
          <w:t>https://www.marches-publics.gouv.fr</w:t>
        </w:r>
      </w:hyperlink>
      <w:r w:rsidR="008512F0" w:rsidRPr="0083051E">
        <w:rPr>
          <w:rFonts w:ascii="Arial" w:hAnsi="Arial" w:cs="Arial"/>
          <w:color w:val="000000"/>
          <w:sz w:val="20"/>
          <w:szCs w:val="20"/>
        </w:rPr>
        <w:t>.</w:t>
      </w:r>
    </w:p>
    <w:p w:rsidR="008512F0" w:rsidRDefault="008512F0" w:rsidP="008512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2B660C" w:rsidRPr="002B660C" w:rsidRDefault="002B660C" w:rsidP="008512F0">
      <w:pPr>
        <w:widowControl w:val="0"/>
        <w:shd w:val="clear" w:color="auto" w:fill="FFFFFF"/>
        <w:autoSpaceDE w:val="0"/>
        <w:autoSpaceDN w:val="0"/>
        <w:adjustRightInd w:val="0"/>
        <w:spacing w:after="12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Toutefois, en cas de dossier incomplet assimilable à une absence d’offre, si un faisceau d’indices concordants et conséquents permet de déterminer que le candidat a commis une ou plusieurs erreurs d’étourderie susceptibles d’être corrigées dans un délai inférieur à 24H, la CGSS</w:t>
      </w:r>
      <w:r w:rsidR="00532DF5">
        <w:rPr>
          <w:rFonts w:ascii="Arial" w:eastAsia="Calibri" w:hAnsi="Arial" w:cs="Arial"/>
          <w:sz w:val="20"/>
          <w:szCs w:val="20"/>
          <w:lang w:eastAsia="en-US"/>
        </w:rPr>
        <w:t>M</w:t>
      </w:r>
      <w:r w:rsidRPr="002B660C">
        <w:rPr>
          <w:rFonts w:ascii="Arial" w:eastAsia="Calibri" w:hAnsi="Arial" w:cs="Arial"/>
          <w:sz w:val="20"/>
          <w:szCs w:val="20"/>
          <w:lang w:eastAsia="en-US"/>
        </w:rPr>
        <w:t xml:space="preserve"> se réserve la possibilité de procéder à la régularisation de l’offre du candidat en application de l’article R. 2152-2 du Code de la commande publique.</w:t>
      </w:r>
    </w:p>
    <w:p w:rsidR="002B660C" w:rsidRPr="002B660C" w:rsidRDefault="002B660C" w:rsidP="00532DF5">
      <w:pPr>
        <w:tabs>
          <w:tab w:val="left" w:pos="142"/>
          <w:tab w:val="left" w:pos="284"/>
          <w:tab w:val="left" w:pos="426"/>
        </w:tabs>
        <w:spacing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Tout dépôt sur un autre site ou sur adresse électronique est nul et non avenu.</w:t>
      </w:r>
    </w:p>
    <w:p w:rsidR="002B660C" w:rsidRPr="002B660C" w:rsidRDefault="002B660C" w:rsidP="00532DF5">
      <w:pPr>
        <w:tabs>
          <w:tab w:val="left" w:pos="142"/>
          <w:tab w:val="left" w:pos="284"/>
          <w:tab w:val="left" w:pos="426"/>
        </w:tabs>
        <w:spacing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transmission électronique se fait par l'envoi d'un seul dossier comprenant l'intégralité des documents exigés. Le dépôt des dossiers donne lieu à un accusé de réception mentionnant la date et l’heure de réception.</w:t>
      </w:r>
    </w:p>
    <w:p w:rsidR="002B660C" w:rsidRPr="002B660C" w:rsidRDefault="002B660C" w:rsidP="00532DF5">
      <w:pPr>
        <w:tabs>
          <w:tab w:val="left" w:pos="142"/>
          <w:tab w:val="left" w:pos="284"/>
          <w:tab w:val="left" w:pos="426"/>
        </w:tabs>
        <w:spacing w:before="120"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Le mode de transmission électronique sécurisé choisi par le soumissionnaire doit permettre à la CGSS</w:t>
      </w:r>
      <w:r w:rsidR="00532DF5">
        <w:rPr>
          <w:rFonts w:ascii="Arial" w:eastAsia="Calibri" w:hAnsi="Arial" w:cs="Arial"/>
          <w:sz w:val="20"/>
          <w:szCs w:val="20"/>
          <w:lang w:eastAsia="en-US"/>
        </w:rPr>
        <w:t>M</w:t>
      </w:r>
      <w:r w:rsidRPr="002B660C">
        <w:rPr>
          <w:rFonts w:ascii="Arial" w:eastAsia="Calibri" w:hAnsi="Arial" w:cs="Arial"/>
          <w:sz w:val="20"/>
          <w:szCs w:val="20"/>
          <w:lang w:eastAsia="en-US"/>
        </w:rPr>
        <w:t xml:space="preserve"> d’ouvrir les pièces sans le concours de celui-ci, c’est à dire sans une intervention personnelle du soumissionnaire.</w:t>
      </w:r>
    </w:p>
    <w:p w:rsidR="002B660C" w:rsidRPr="002B660C" w:rsidRDefault="002B660C" w:rsidP="00532DF5">
      <w:pPr>
        <w:tabs>
          <w:tab w:val="left" w:pos="142"/>
          <w:tab w:val="left" w:pos="284"/>
          <w:tab w:val="left" w:pos="426"/>
        </w:tabs>
        <w:spacing w:before="120"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Excepté le cas de la copie de sauvegarde, l’envoi ou le dépôt de l’offre sur support papier ou sur support physique électronique n’est pas autorisé.</w:t>
      </w:r>
    </w:p>
    <w:p w:rsidR="002B660C" w:rsidRDefault="002B660C" w:rsidP="00532DF5">
      <w:pPr>
        <w:tabs>
          <w:tab w:val="left" w:pos="142"/>
          <w:tab w:val="left" w:pos="284"/>
          <w:tab w:val="left" w:pos="426"/>
        </w:tabs>
        <w:spacing w:before="120"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CGSS</w:t>
      </w:r>
      <w:r w:rsidR="00532DF5">
        <w:rPr>
          <w:rFonts w:ascii="Arial" w:eastAsia="Calibri" w:hAnsi="Arial" w:cs="Arial"/>
          <w:sz w:val="20"/>
          <w:szCs w:val="20"/>
          <w:lang w:eastAsia="en-US"/>
        </w:rPr>
        <w:t>M</w:t>
      </w:r>
      <w:r w:rsidRPr="002B660C">
        <w:rPr>
          <w:rFonts w:ascii="Arial" w:eastAsia="Calibri" w:hAnsi="Arial" w:cs="Arial"/>
          <w:sz w:val="20"/>
          <w:szCs w:val="20"/>
          <w:lang w:eastAsia="en-US"/>
        </w:rPr>
        <w:t xml:space="preserve"> ne pourra être tenue pour responsable des dommages, troubles, directs ou indirects qui pourraient résulter de l’usage lié au fonctionnement du site utilisé dans le cadre de la dématérialisation des procédures. Les frais d’accès au réseau et de recours à la signature électronique sont à la charge de chaque candidat.</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p>
    <w:p w:rsidR="002B660C" w:rsidRPr="002B660C" w:rsidRDefault="002B660C" w:rsidP="002B660C">
      <w:pPr>
        <w:widowControl w:val="0"/>
        <w:pBdr>
          <w:top w:val="single" w:sz="4" w:space="1" w:color="auto"/>
          <w:left w:val="single" w:sz="4" w:space="1" w:color="auto"/>
          <w:bottom w:val="single" w:sz="4" w:space="1" w:color="auto"/>
          <w:right w:val="single" w:sz="4" w:space="4" w:color="auto"/>
        </w:pBdr>
        <w:tabs>
          <w:tab w:val="left" w:pos="284"/>
          <w:tab w:val="left" w:pos="2552"/>
          <w:tab w:val="left" w:pos="6237"/>
        </w:tabs>
        <w:autoSpaceDE w:val="0"/>
        <w:autoSpaceDN w:val="0"/>
        <w:adjustRightInd w:val="0"/>
        <w:spacing w:after="120" w:line="240" w:lineRule="auto"/>
        <w:jc w:val="both"/>
        <w:rPr>
          <w:rFonts w:ascii="Arial" w:eastAsia="Times New Roman" w:hAnsi="Arial" w:cs="Arial"/>
          <w:b/>
          <w:sz w:val="20"/>
          <w:szCs w:val="20"/>
        </w:rPr>
      </w:pPr>
      <w:r w:rsidRPr="002B660C">
        <w:rPr>
          <w:rFonts w:ascii="Arial" w:eastAsia="Times New Roman" w:hAnsi="Arial" w:cs="Arial"/>
          <w:b/>
          <w:sz w:val="20"/>
          <w:szCs w:val="20"/>
        </w:rPr>
        <w:t xml:space="preserve">L’identification des opérateurs économiques n’est plus obligatoire pour télécharger le dossier de consultation des entreprises. </w:t>
      </w:r>
    </w:p>
    <w:p w:rsidR="002B660C" w:rsidRPr="002B660C" w:rsidRDefault="002B660C" w:rsidP="002B660C">
      <w:pPr>
        <w:widowControl w:val="0"/>
        <w:pBdr>
          <w:top w:val="single" w:sz="4" w:space="1" w:color="auto"/>
          <w:left w:val="single" w:sz="4" w:space="1" w:color="auto"/>
          <w:bottom w:val="single" w:sz="4" w:space="1" w:color="auto"/>
          <w:right w:val="single" w:sz="4" w:space="4" w:color="auto"/>
        </w:pBdr>
        <w:tabs>
          <w:tab w:val="left" w:pos="284"/>
          <w:tab w:val="left" w:pos="2552"/>
          <w:tab w:val="left" w:pos="6237"/>
        </w:tabs>
        <w:autoSpaceDE w:val="0"/>
        <w:autoSpaceDN w:val="0"/>
        <w:adjustRightInd w:val="0"/>
        <w:spacing w:after="120" w:line="240" w:lineRule="auto"/>
        <w:jc w:val="both"/>
        <w:rPr>
          <w:rFonts w:ascii="Arial" w:eastAsia="Times New Roman" w:hAnsi="Arial" w:cs="Arial"/>
          <w:b/>
          <w:sz w:val="20"/>
          <w:szCs w:val="20"/>
        </w:rPr>
      </w:pPr>
      <w:r w:rsidRPr="002B660C">
        <w:rPr>
          <w:rFonts w:ascii="Arial" w:eastAsia="Times New Roman" w:hAnsi="Arial" w:cs="Arial"/>
          <w:b/>
          <w:sz w:val="20"/>
          <w:szCs w:val="20"/>
        </w:rPr>
        <w:t>Il est rappelé aux opérateurs économiques que s’ils ne s’identifient pas, ils ne pourront pas être alertés des éventuelles modifications apportées au dossier de consultation et autres questions/réponses relatives à la procédure.</w:t>
      </w:r>
    </w:p>
    <w:p w:rsidR="002B660C" w:rsidRDefault="002B660C" w:rsidP="002B660C">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bookmarkStart w:id="0" w:name="_Toc43137080"/>
      <w:bookmarkStart w:id="1" w:name="_Toc73459690"/>
      <w:bookmarkStart w:id="2" w:name="_Toc102992001"/>
      <w:bookmarkStart w:id="3" w:name="_Toc103067278"/>
      <w:bookmarkStart w:id="4" w:name="_Toc109730546"/>
      <w:bookmarkStart w:id="5" w:name="_Toc109731157"/>
      <w:r>
        <w:rPr>
          <w:rFonts w:ascii="Arial" w:hAnsi="Arial" w:cs="Arial"/>
          <w:b/>
          <w:bCs/>
          <w:color w:val="000000"/>
          <w:sz w:val="20"/>
          <w:szCs w:val="20"/>
        </w:rPr>
        <w:t>Contrôle de virus :</w:t>
      </w:r>
    </w:p>
    <w:p w:rsidR="002B660C" w:rsidRDefault="002B660C" w:rsidP="002B660C">
      <w:pPr>
        <w:keepNext/>
        <w:widowControl w:val="0"/>
        <w:tabs>
          <w:tab w:val="left" w:pos="567"/>
          <w:tab w:val="left" w:pos="993"/>
        </w:tabs>
        <w:autoSpaceDE w:val="0"/>
        <w:autoSpaceDN w:val="0"/>
        <w:adjustRightInd w:val="0"/>
        <w:spacing w:after="120" w:line="240" w:lineRule="auto"/>
        <w:contextualSpacing/>
        <w:outlineLvl w:val="2"/>
        <w:rPr>
          <w:rFonts w:ascii="Arial" w:eastAsia="Times New Roman" w:hAnsi="Arial" w:cs="Arial"/>
          <w:b/>
          <w:bCs/>
        </w:rPr>
      </w:pPr>
    </w:p>
    <w:bookmarkEnd w:id="0"/>
    <w:bookmarkEnd w:id="1"/>
    <w:bookmarkEnd w:id="2"/>
    <w:bookmarkEnd w:id="3"/>
    <w:bookmarkEnd w:id="4"/>
    <w:bookmarkEnd w:id="5"/>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 xml:space="preserve">Tout fichier constitutif de la candidature et de l’offre doit être traité préalablement à l’antivirus.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En cas de dépôt d’une offre dans lequel un virus informatique est détecté par la CGSS, celui-ci ne sera pas ouvert. Ce document est dès lors réputé n’avoir jamais été reçu et entraîne l’irrecevabilité de la candidature et de l’offre, sauf le cas où une copie de sauvegarde a été transmise dans les délais et peut être utilisée en substitution.</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En cas d’irrecevabilité de la candidature et de l’offre, le candidat en est informé dans les conditions de l’article R. 2181-1 du Code de la commande publique.</w:t>
      </w:r>
    </w:p>
    <w:p w:rsidR="002B660C" w:rsidRDefault="002B660C" w:rsidP="002B660C">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Remise des copies de sauvegarde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Afin de parer aux éventuelles difficultés techniques de tout ordre qui seraient susceptibles d’altérer ou retarder cette transmission électronique, notamment en cas de volume très important des dossiers à transmettre, la CGSS</w:t>
      </w:r>
      <w:r w:rsidR="00532DF5">
        <w:rPr>
          <w:rFonts w:ascii="Arial" w:eastAsia="Times New Roman" w:hAnsi="Arial" w:cs="Arial"/>
          <w:sz w:val="20"/>
          <w:szCs w:val="20"/>
        </w:rPr>
        <w:t>M</w:t>
      </w:r>
      <w:r w:rsidRPr="002B660C">
        <w:rPr>
          <w:rFonts w:ascii="Arial" w:eastAsia="Times New Roman" w:hAnsi="Arial" w:cs="Arial"/>
          <w:sz w:val="20"/>
          <w:szCs w:val="20"/>
        </w:rPr>
        <w:t xml:space="preserve"> autorise le candidat à doubler cet envoi par l’envoi d’une « copie de sauvegarde ».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b/>
          <w:sz w:val="20"/>
          <w:szCs w:val="20"/>
        </w:rPr>
        <w:t>Cette copie de sauvegarde</w:t>
      </w:r>
      <w:r w:rsidRPr="002B660C">
        <w:rPr>
          <w:rFonts w:ascii="Arial" w:eastAsia="Times New Roman" w:hAnsi="Arial" w:cs="Arial"/>
          <w:sz w:val="20"/>
          <w:szCs w:val="20"/>
        </w:rPr>
        <w:t xml:space="preserve"> reproduit l’intégralité du dossier original adressé à la personne publi</w:t>
      </w:r>
      <w:r w:rsidRPr="002B660C">
        <w:rPr>
          <w:rFonts w:ascii="Arial" w:eastAsia="Times New Roman" w:hAnsi="Arial" w:cs="Arial"/>
          <w:sz w:val="20"/>
          <w:szCs w:val="20"/>
        </w:rPr>
        <w:softHyphen/>
        <w:t>que. Elle peut être transmise sur support physique électronique (CD-ROM, DVD-ROM, CLE USB...) ou sur support papier. Elle est adressée à l’adresse suivante, parallèlement à l’envoi dématérialisé du dossier, sous pli scellé et comporte obligatoirement la mention « copie de sauvegarde » :</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lang w:eastAsia="en-US"/>
        </w:rPr>
      </w:pPr>
    </w:p>
    <w:p w:rsidR="002B660C" w:rsidRP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smallCaps/>
          <w:color w:val="000000"/>
        </w:rPr>
      </w:pPr>
      <w:r w:rsidRPr="002B660C">
        <w:rPr>
          <w:rFonts w:ascii="Arial" w:eastAsia="Calibri" w:hAnsi="Arial" w:cs="Arial"/>
          <w:bCs/>
          <w:smallCaps/>
          <w:color w:val="000000"/>
        </w:rPr>
        <w:t xml:space="preserve">Caisse Générale de Sécurité Sociale de </w:t>
      </w:r>
      <w:r>
        <w:rPr>
          <w:rFonts w:ascii="Arial" w:eastAsia="Calibri" w:hAnsi="Arial" w:cs="Arial"/>
          <w:bCs/>
          <w:smallCaps/>
          <w:color w:val="000000"/>
        </w:rPr>
        <w:t>la Martinique</w:t>
      </w:r>
    </w:p>
    <w:p w:rsid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color w:val="000000"/>
        </w:rPr>
      </w:pPr>
      <w:r>
        <w:rPr>
          <w:rFonts w:ascii="Arial" w:eastAsia="Calibri" w:hAnsi="Arial" w:cs="Arial"/>
          <w:color w:val="000000"/>
        </w:rPr>
        <w:t>DEPARTEMENT ACHATS ET MARCHES</w:t>
      </w:r>
    </w:p>
    <w:p w:rsidR="002B660C" w:rsidRP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color w:val="000000"/>
        </w:rPr>
      </w:pPr>
      <w:r w:rsidRPr="002B660C">
        <w:rPr>
          <w:rFonts w:ascii="Arial" w:eastAsia="Calibri" w:hAnsi="Arial" w:cs="Arial"/>
          <w:color w:val="000000"/>
        </w:rPr>
        <w:t xml:space="preserve">Direction </w:t>
      </w:r>
      <w:r>
        <w:rPr>
          <w:rFonts w:ascii="Arial" w:eastAsia="Calibri" w:hAnsi="Arial" w:cs="Arial"/>
          <w:color w:val="000000"/>
        </w:rPr>
        <w:t>RESSOURCES</w:t>
      </w:r>
      <w:r w:rsidRPr="002B660C">
        <w:rPr>
          <w:rFonts w:ascii="Arial" w:eastAsia="Calibri" w:hAnsi="Arial" w:cs="Arial"/>
          <w:color w:val="000000"/>
        </w:rPr>
        <w:t>,</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w:eastAsia="Calibri" w:hAnsi="Arial" w:cs="Arial"/>
          <w:color w:val="000000"/>
        </w:rPr>
      </w:pPr>
      <w:r w:rsidRPr="002B660C">
        <w:rPr>
          <w:rFonts w:ascii="Arial" w:eastAsia="Calibri" w:hAnsi="Arial" w:cs="Arial"/>
          <w:color w:val="000000"/>
        </w:rPr>
        <w:t>Hall 3 ; Niveau -1 ; Couloir 6</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w:eastAsia="Calibri" w:hAnsi="Arial" w:cs="Arial"/>
          <w:color w:val="000000"/>
        </w:rPr>
      </w:pPr>
      <w:r w:rsidRPr="002B660C">
        <w:rPr>
          <w:rFonts w:ascii="Arial" w:eastAsia="Calibri" w:hAnsi="Arial" w:cs="Arial"/>
          <w:color w:val="000000"/>
        </w:rPr>
        <w:t>97210 LAMENTIN Cedex 02</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sz w:val="24"/>
          <w:szCs w:val="24"/>
        </w:rPr>
      </w:pPr>
      <w:r w:rsidRPr="002B660C">
        <w:rPr>
          <w:rFonts w:ascii="Arial Narrow" w:eastAsia="Times New Roman" w:hAnsi="Arial Narrow" w:cs="Calibri"/>
          <w:sz w:val="24"/>
          <w:szCs w:val="24"/>
        </w:rPr>
        <w:t>« </w:t>
      </w:r>
      <w:r w:rsidRPr="002B660C">
        <w:rPr>
          <w:rFonts w:ascii="Arial Narrow" w:eastAsia="Times New Roman" w:hAnsi="Arial Narrow" w:cs="Calibri"/>
          <w:b/>
          <w:sz w:val="24"/>
          <w:szCs w:val="24"/>
        </w:rPr>
        <w:t>NE PAS OUVRIR PAR LE COURRIER GENERAL</w:t>
      </w:r>
      <w:r w:rsidRPr="002B660C">
        <w:rPr>
          <w:rFonts w:ascii="Arial Narrow" w:eastAsia="Times New Roman" w:hAnsi="Arial Narrow" w:cs="Calibri"/>
          <w:sz w:val="24"/>
          <w:szCs w:val="24"/>
        </w:rPr>
        <w:t> »</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sz w:val="24"/>
          <w:szCs w:val="24"/>
        </w:rPr>
      </w:pPr>
      <w:r w:rsidRPr="002B660C">
        <w:rPr>
          <w:rFonts w:ascii="Arial Narrow" w:eastAsia="Times New Roman" w:hAnsi="Arial Narrow" w:cs="Calibri"/>
          <w:sz w:val="24"/>
          <w:szCs w:val="24"/>
        </w:rPr>
        <w:t>« </w:t>
      </w:r>
      <w:r w:rsidR="00532DF5">
        <w:rPr>
          <w:rFonts w:ascii="Arial Narrow" w:eastAsia="Times New Roman" w:hAnsi="Arial Narrow" w:cs="Calibri"/>
          <w:sz w:val="24"/>
          <w:szCs w:val="24"/>
        </w:rPr>
        <w:t>COORDINATEUR MISSIONS SPS</w:t>
      </w:r>
      <w:r w:rsidR="008C0462" w:rsidRPr="002B660C">
        <w:rPr>
          <w:rFonts w:ascii="Arial Narrow" w:eastAsia="Times New Roman" w:hAnsi="Arial Narrow" w:cs="Calibri"/>
          <w:sz w:val="24"/>
          <w:szCs w:val="24"/>
        </w:rPr>
        <w:t xml:space="preserve"> »</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i/>
          <w:sz w:val="24"/>
          <w:szCs w:val="24"/>
          <w:u w:val="single"/>
        </w:rPr>
      </w:pPr>
      <w:r w:rsidRPr="002B660C">
        <w:rPr>
          <w:rFonts w:ascii="Arial Narrow" w:eastAsia="Times New Roman" w:hAnsi="Arial Narrow" w:cs="Calibri"/>
          <w:i/>
          <w:sz w:val="24"/>
          <w:szCs w:val="24"/>
          <w:u w:val="single"/>
        </w:rPr>
        <w:t>« Copie de sauvegarde »</w:t>
      </w:r>
    </w:p>
    <w:p w:rsidR="002B660C" w:rsidRPr="002B660C" w:rsidRDefault="002B660C" w:rsidP="00890C84">
      <w:pPr>
        <w:tabs>
          <w:tab w:val="left" w:pos="142"/>
          <w:tab w:val="left" w:pos="284"/>
          <w:tab w:val="left" w:pos="426"/>
        </w:tabs>
        <w:spacing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Il est à noter que la « copie de sauvegarde » doit être remise ou parvenir à destination à l’adresse indiquée ci-dessus avant la date et heure limites mentionnées sur la page de garde du présent document.</w:t>
      </w:r>
    </w:p>
    <w:p w:rsidR="002B660C" w:rsidRDefault="002B660C" w:rsidP="00890C84">
      <w:pPr>
        <w:tabs>
          <w:tab w:val="left" w:pos="142"/>
          <w:tab w:val="left" w:pos="284"/>
          <w:tab w:val="left" w:pos="426"/>
        </w:tabs>
        <w:spacing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 copie de sauvegarde » peut être remise contre récépissé, à l’adresse mentionnée ci-dessus</w:t>
      </w:r>
      <w:r w:rsidR="00DE6299">
        <w:rPr>
          <w:rFonts w:ascii="Arial" w:eastAsia="Calibri" w:hAnsi="Arial" w:cs="Arial"/>
          <w:sz w:val="20"/>
          <w:szCs w:val="20"/>
          <w:lang w:eastAsia="en-US"/>
        </w:rPr>
        <w:t>.</w:t>
      </w:r>
    </w:p>
    <w:p w:rsidR="002B660C" w:rsidRDefault="002B660C" w:rsidP="00890C84">
      <w:pPr>
        <w:tabs>
          <w:tab w:val="left" w:pos="142"/>
          <w:tab w:val="left" w:pos="284"/>
          <w:tab w:val="left" w:pos="426"/>
        </w:tabs>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w:t>
      </w:r>
      <w:r w:rsidRPr="002B660C">
        <w:rPr>
          <w:rFonts w:ascii="Arial" w:eastAsia="Calibri" w:hAnsi="Arial" w:cs="Arial"/>
          <w:sz w:val="20"/>
          <w:szCs w:val="20"/>
          <w:lang w:eastAsia="en-US"/>
        </w:rPr>
        <w:t xml:space="preserve"> lundi </w:t>
      </w:r>
      <w:r>
        <w:rPr>
          <w:rFonts w:ascii="Arial" w:eastAsia="Calibri" w:hAnsi="Arial" w:cs="Arial"/>
          <w:sz w:val="20"/>
          <w:szCs w:val="20"/>
          <w:lang w:eastAsia="en-US"/>
        </w:rPr>
        <w:t>et jeudi</w:t>
      </w:r>
      <w:r w:rsidRPr="002B660C">
        <w:rPr>
          <w:rFonts w:ascii="Arial" w:eastAsia="Calibri" w:hAnsi="Arial" w:cs="Arial"/>
          <w:sz w:val="20"/>
          <w:szCs w:val="20"/>
          <w:lang w:eastAsia="en-US"/>
        </w:rPr>
        <w:t xml:space="preserve"> de 9H à 12H et de 14H à 16H,</w:t>
      </w:r>
    </w:p>
    <w:p w:rsidR="002B660C" w:rsidRPr="002B660C" w:rsidRDefault="002B660C" w:rsidP="00890C84">
      <w:pPr>
        <w:tabs>
          <w:tab w:val="left" w:pos="142"/>
          <w:tab w:val="left" w:pos="284"/>
          <w:tab w:val="left" w:pos="426"/>
        </w:tabs>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 mardi, mercredi et vendredi de 09H à 12H</w:t>
      </w:r>
    </w:p>
    <w:p w:rsidR="002B660C" w:rsidRDefault="002B660C" w:rsidP="00890C84">
      <w:pPr>
        <w:tabs>
          <w:tab w:val="left" w:pos="142"/>
          <w:tab w:val="left" w:pos="284"/>
          <w:tab w:val="left" w:pos="426"/>
        </w:tabs>
        <w:spacing w:after="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 copie de sauvegarde » peut être envoyée par la poste par pli recommandé avec accusé de réception également à l’adresse indiquée ci-dessus, avant la date et heure limites mentionnées sur la page de garde du présent document.</w:t>
      </w:r>
    </w:p>
    <w:p w:rsidR="00B355A7" w:rsidRDefault="00B355A7" w:rsidP="002B660C">
      <w:pPr>
        <w:tabs>
          <w:tab w:val="left" w:pos="142"/>
          <w:tab w:val="left" w:pos="284"/>
          <w:tab w:val="left" w:pos="426"/>
        </w:tabs>
        <w:spacing w:after="0" w:line="276" w:lineRule="auto"/>
        <w:jc w:val="both"/>
        <w:rPr>
          <w:rFonts w:ascii="Arial" w:eastAsia="Calibri" w:hAnsi="Arial" w:cs="Arial"/>
          <w:sz w:val="20"/>
          <w:szCs w:val="20"/>
          <w:lang w:eastAsia="en-US"/>
        </w:rPr>
      </w:pPr>
    </w:p>
    <w:p w:rsidR="008C0462" w:rsidRPr="008C0462" w:rsidRDefault="008C0462" w:rsidP="008C0462">
      <w:pPr>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w:eastAsia="Times New Roman" w:hAnsi="Arial" w:cs="Arial"/>
          <w:b/>
          <w:bCs/>
          <w:sz w:val="20"/>
          <w:szCs w:val="20"/>
        </w:rPr>
      </w:pPr>
      <w:r w:rsidRPr="008C0462">
        <w:rPr>
          <w:rFonts w:ascii="Arial" w:eastAsia="Times New Roman" w:hAnsi="Arial" w:cs="Arial"/>
          <w:b/>
          <w:bCs/>
          <w:sz w:val="20"/>
          <w:szCs w:val="20"/>
        </w:rPr>
        <w:t>Pour rappel, la CGSS n’exige pas la signature de l’offre. L’offre remise électroniquement ne requiert donc pas de certificat de signature électronique et ne pourra être rejetée pour défaut de signature ou signature incertaine.</w:t>
      </w:r>
    </w:p>
    <w:p w:rsidR="008C0462" w:rsidRPr="008C0462" w:rsidRDefault="008C0462" w:rsidP="008C0462">
      <w:pPr>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w:eastAsia="Times New Roman" w:hAnsi="Arial" w:cs="Arial"/>
          <w:b/>
          <w:bCs/>
          <w:sz w:val="20"/>
          <w:szCs w:val="20"/>
        </w:rPr>
      </w:pPr>
      <w:r w:rsidRPr="008C0462">
        <w:rPr>
          <w:rFonts w:ascii="Arial" w:eastAsia="Times New Roman" w:hAnsi="Arial" w:cs="Arial"/>
          <w:b/>
          <w:bCs/>
          <w:sz w:val="20"/>
          <w:szCs w:val="20"/>
        </w:rPr>
        <w:t>Les candidats qui souhaiteraient tout de même signer électroniquement leur offre, trouveront les informations techniques utiles</w:t>
      </w:r>
      <w:r w:rsidRPr="00B355A7">
        <w:rPr>
          <w:rFonts w:ascii="Arial" w:eastAsia="Times New Roman" w:hAnsi="Arial" w:cs="Arial"/>
          <w:b/>
          <w:bCs/>
          <w:sz w:val="20"/>
          <w:szCs w:val="20"/>
        </w:rPr>
        <w:t xml:space="preserve"> sur la plate-forme</w:t>
      </w:r>
      <w:r w:rsidRPr="008C0462">
        <w:rPr>
          <w:rFonts w:ascii="Arial" w:eastAsia="Times New Roman" w:hAnsi="Arial" w:cs="Arial"/>
          <w:b/>
          <w:bCs/>
          <w:sz w:val="20"/>
          <w:szCs w:val="20"/>
        </w:rPr>
        <w:t>.</w:t>
      </w:r>
    </w:p>
    <w:p w:rsidR="00890C84" w:rsidRDefault="00890C8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plis électroniques reçus après la date et l’heure limite de réception ne seront pas ouverts.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u w:val="single"/>
        </w:rPr>
        <w:t>Attention :</w:t>
      </w:r>
      <w:r>
        <w:rPr>
          <w:rFonts w:ascii="Arial" w:hAnsi="Arial" w:cs="Arial"/>
          <w:b/>
          <w:bCs/>
          <w:color w:val="000000"/>
          <w:sz w:val="20"/>
          <w:szCs w:val="20"/>
        </w:rPr>
        <w:t xml:space="preserve"> une réponse volumineuse peut prendre plusieurs minutes </w:t>
      </w:r>
      <w:r w:rsidR="004C6DAA">
        <w:rPr>
          <w:rFonts w:ascii="Arial" w:hAnsi="Arial" w:cs="Arial"/>
          <w:b/>
          <w:bCs/>
          <w:color w:val="000000"/>
          <w:sz w:val="20"/>
          <w:szCs w:val="20"/>
        </w:rPr>
        <w:t>voire</w:t>
      </w:r>
      <w:r>
        <w:rPr>
          <w:rFonts w:ascii="Arial" w:hAnsi="Arial" w:cs="Arial"/>
          <w:b/>
          <w:bCs/>
          <w:color w:val="000000"/>
          <w:sz w:val="20"/>
          <w:szCs w:val="20"/>
        </w:rPr>
        <w:t xml:space="preserve"> heures pour être déposée sur la plate-forme de dématérialisation (en fonction du débit de connexion internet</w:t>
      </w:r>
      <w:r w:rsidR="004C6DAA">
        <w:rPr>
          <w:rFonts w:ascii="Arial" w:hAnsi="Arial" w:cs="Arial"/>
          <w:b/>
          <w:bCs/>
          <w:color w:val="000000"/>
          <w:sz w:val="20"/>
          <w:szCs w:val="20"/>
        </w:rPr>
        <w:t>). Il</w:t>
      </w:r>
      <w:r>
        <w:rPr>
          <w:rFonts w:ascii="Arial" w:hAnsi="Arial" w:cs="Arial"/>
          <w:b/>
          <w:bCs/>
          <w:color w:val="000000"/>
          <w:sz w:val="20"/>
          <w:szCs w:val="20"/>
        </w:rPr>
        <w:t xml:space="preserve"> est fortement conseillé de commencer le dépôt d’une offre plusieurs heures AVANT l’heure limite.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propositions doivent être remises en euros et rédigées en langue française. Si les propositions sont rédigées dans une autre langue, elles doivent être accompagnées d'une traduction en français.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167" w:type="dxa"/>
        <w:tblInd w:w="19" w:type="dxa"/>
        <w:tblLayout w:type="fixed"/>
        <w:tblCellMar>
          <w:left w:w="0" w:type="dxa"/>
          <w:right w:w="0" w:type="dxa"/>
        </w:tblCellMar>
        <w:tblLook w:val="0000" w:firstRow="0" w:lastRow="0" w:firstColumn="0" w:lastColumn="0" w:noHBand="0" w:noVBand="0"/>
      </w:tblPr>
      <w:tblGrid>
        <w:gridCol w:w="2901"/>
        <w:gridCol w:w="6266"/>
      </w:tblGrid>
      <w:tr w:rsidR="005D3D1F" w:rsidTr="003C41DB">
        <w:trPr>
          <w:cantSplit/>
          <w:trHeight w:val="351"/>
          <w:tblHeader/>
        </w:trPr>
        <w:tc>
          <w:tcPr>
            <w:tcW w:w="2901"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000000"/>
                <w:sz w:val="20"/>
                <w:szCs w:val="20"/>
              </w:rPr>
              <w:t>Document</w:t>
            </w:r>
          </w:p>
        </w:tc>
        <w:tc>
          <w:tcPr>
            <w:tcW w:w="6266" w:type="dxa"/>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000000"/>
                <w:sz w:val="20"/>
                <w:szCs w:val="20"/>
              </w:rPr>
              <w:t>Descriptif</w:t>
            </w:r>
          </w:p>
        </w:tc>
      </w:tr>
      <w:tr w:rsidR="00890C84" w:rsidTr="003C41DB">
        <w:trPr>
          <w:trHeight w:val="53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Lettre de candidature Habilitation du mandataire par ses cotraitants (DC1 disponible sur le site du Ministère de l'Economie)</w:t>
            </w:r>
          </w:p>
        </w:tc>
      </w:tr>
      <w:tr w:rsidR="00890C84" w:rsidTr="003C41DB">
        <w:trPr>
          <w:trHeight w:val="54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du candidat individuelle ou du membre du groupement  (DC2 disponible sur le site du Ministère de l'Economie)</w:t>
            </w:r>
          </w:p>
        </w:tc>
      </w:tr>
      <w:tr w:rsidR="00890C84" w:rsidTr="003C41DB">
        <w:trPr>
          <w:trHeight w:val="321"/>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sur l'honneur</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sur l'honneur type remise par la CGSSM</w:t>
            </w:r>
          </w:p>
        </w:tc>
      </w:tr>
      <w:tr w:rsidR="00890C84" w:rsidTr="003C41DB">
        <w:trPr>
          <w:trHeight w:val="54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E-DUME</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890C84" w:rsidRDefault="00890C84" w:rsidP="008901C4">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Ou compléter un formulaire E-DUME (qui se substitue à  la DC1 et à  la DC2) via https://dume.chorus-pro.gouv.fr</w:t>
            </w:r>
          </w:p>
        </w:tc>
      </w:tr>
      <w:tr w:rsidR="005D3D1F" w:rsidTr="003C41DB">
        <w:trPr>
          <w:trHeight w:val="2733"/>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7B0A00" w:rsidP="00936B8C">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Habilitations – Formations –Expériences/Références</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7B0A00" w:rsidRDefault="007B0A00" w:rsidP="007B0A00">
            <w:pPr>
              <w:pStyle w:val="Paragraphedeliste"/>
              <w:widowControl w:val="0"/>
              <w:numPr>
                <w:ilvl w:val="0"/>
                <w:numId w:val="31"/>
              </w:numPr>
              <w:autoSpaceDE w:val="0"/>
              <w:autoSpaceDN w:val="0"/>
              <w:adjustRightInd w:val="0"/>
              <w:spacing w:before="60" w:after="60" w:line="240" w:lineRule="auto"/>
              <w:ind w:right="101"/>
              <w:jc w:val="both"/>
              <w:rPr>
                <w:rFonts w:ascii="Arial" w:hAnsi="Arial" w:cs="Arial"/>
                <w:sz w:val="18"/>
                <w:szCs w:val="18"/>
              </w:rPr>
            </w:pPr>
            <w:r w:rsidRPr="007B0A00">
              <w:rPr>
                <w:rFonts w:ascii="Arial" w:hAnsi="Arial" w:cs="Arial"/>
                <w:sz w:val="18"/>
                <w:szCs w:val="18"/>
              </w:rPr>
              <w:t>Habilitation conforme aux dispositions du Code du travail</w:t>
            </w:r>
            <w:r>
              <w:rPr>
                <w:rFonts w:ascii="Arial" w:hAnsi="Arial" w:cs="Arial"/>
                <w:sz w:val="18"/>
                <w:szCs w:val="18"/>
              </w:rPr>
              <w:t xml:space="preserve"> (articles R4532-25 à R4532-37),</w:t>
            </w:r>
          </w:p>
          <w:p w:rsidR="007B0A00" w:rsidRDefault="007B0A00" w:rsidP="007B0A00">
            <w:pPr>
              <w:pStyle w:val="Paragraphedeliste"/>
              <w:widowControl w:val="0"/>
              <w:numPr>
                <w:ilvl w:val="0"/>
                <w:numId w:val="31"/>
              </w:numPr>
              <w:autoSpaceDE w:val="0"/>
              <w:autoSpaceDN w:val="0"/>
              <w:adjustRightInd w:val="0"/>
              <w:spacing w:before="60" w:after="60" w:line="240" w:lineRule="auto"/>
              <w:ind w:right="101"/>
              <w:jc w:val="both"/>
              <w:rPr>
                <w:rFonts w:ascii="Arial" w:hAnsi="Arial" w:cs="Arial"/>
                <w:sz w:val="18"/>
                <w:szCs w:val="18"/>
              </w:rPr>
            </w:pPr>
            <w:r>
              <w:rPr>
                <w:rFonts w:ascii="Arial" w:hAnsi="Arial" w:cs="Arial"/>
                <w:sz w:val="18"/>
                <w:szCs w:val="18"/>
              </w:rPr>
              <w:t>F</w:t>
            </w:r>
            <w:r w:rsidRPr="007B0A00">
              <w:rPr>
                <w:rFonts w:ascii="Arial" w:hAnsi="Arial" w:cs="Arial"/>
                <w:sz w:val="18"/>
                <w:szCs w:val="18"/>
              </w:rPr>
              <w:t xml:space="preserve">ormation spécifique en prévention </w:t>
            </w:r>
            <w:r>
              <w:rPr>
                <w:rFonts w:ascii="Arial" w:hAnsi="Arial" w:cs="Arial"/>
                <w:sz w:val="18"/>
                <w:szCs w:val="18"/>
              </w:rPr>
              <w:t>des risques professionnels,</w:t>
            </w:r>
          </w:p>
          <w:p w:rsidR="007B0A00" w:rsidRPr="007B0A00" w:rsidRDefault="007B0A00" w:rsidP="007B0A00">
            <w:pPr>
              <w:pStyle w:val="Paragraphedeliste"/>
              <w:widowControl w:val="0"/>
              <w:numPr>
                <w:ilvl w:val="0"/>
                <w:numId w:val="31"/>
              </w:numPr>
              <w:autoSpaceDE w:val="0"/>
              <w:autoSpaceDN w:val="0"/>
              <w:adjustRightInd w:val="0"/>
              <w:spacing w:before="60" w:after="60" w:line="240" w:lineRule="auto"/>
              <w:ind w:right="101"/>
              <w:jc w:val="both"/>
              <w:rPr>
                <w:rFonts w:ascii="Arial" w:hAnsi="Arial" w:cs="Arial"/>
                <w:sz w:val="18"/>
                <w:szCs w:val="18"/>
              </w:rPr>
            </w:pPr>
            <w:r>
              <w:rPr>
                <w:rFonts w:ascii="Arial" w:hAnsi="Arial" w:cs="Arial"/>
                <w:sz w:val="18"/>
                <w:szCs w:val="18"/>
              </w:rPr>
              <w:t>C</w:t>
            </w:r>
            <w:r w:rsidRPr="007B0A00">
              <w:rPr>
                <w:rFonts w:ascii="Arial" w:hAnsi="Arial" w:cs="Arial"/>
                <w:sz w:val="18"/>
                <w:szCs w:val="18"/>
              </w:rPr>
              <w:t>onnaissance approfondie de la règlementation en matière de</w:t>
            </w:r>
            <w:r>
              <w:rPr>
                <w:rFonts w:ascii="Arial" w:hAnsi="Arial" w:cs="Arial"/>
                <w:sz w:val="18"/>
                <w:szCs w:val="18"/>
              </w:rPr>
              <w:t xml:space="preserve"> sécurité sur les chantiers,</w:t>
            </w:r>
          </w:p>
          <w:p w:rsidR="007B0A00" w:rsidRDefault="007B0A00" w:rsidP="007B0A00">
            <w:pPr>
              <w:pStyle w:val="Paragraphedeliste"/>
              <w:widowControl w:val="0"/>
              <w:numPr>
                <w:ilvl w:val="0"/>
                <w:numId w:val="31"/>
              </w:numPr>
              <w:autoSpaceDE w:val="0"/>
              <w:autoSpaceDN w:val="0"/>
              <w:adjustRightInd w:val="0"/>
              <w:spacing w:before="60" w:after="60" w:line="240" w:lineRule="auto"/>
              <w:ind w:right="101"/>
              <w:jc w:val="both"/>
              <w:rPr>
                <w:rFonts w:ascii="Arial" w:hAnsi="Arial" w:cs="Arial"/>
                <w:sz w:val="18"/>
                <w:szCs w:val="18"/>
              </w:rPr>
            </w:pPr>
            <w:r>
              <w:rPr>
                <w:rFonts w:ascii="Arial" w:hAnsi="Arial" w:cs="Arial"/>
                <w:sz w:val="18"/>
                <w:szCs w:val="18"/>
              </w:rPr>
              <w:t>E</w:t>
            </w:r>
            <w:r w:rsidRPr="007B0A00">
              <w:rPr>
                <w:rFonts w:ascii="Arial" w:hAnsi="Arial" w:cs="Arial"/>
                <w:sz w:val="18"/>
                <w:szCs w:val="18"/>
              </w:rPr>
              <w:t>xpérience</w:t>
            </w:r>
            <w:r>
              <w:rPr>
                <w:rFonts w:ascii="Arial" w:hAnsi="Arial" w:cs="Arial"/>
                <w:sz w:val="18"/>
                <w:szCs w:val="18"/>
              </w:rPr>
              <w:t>s</w:t>
            </w:r>
            <w:r w:rsidRPr="007B0A00">
              <w:rPr>
                <w:rFonts w:ascii="Arial" w:hAnsi="Arial" w:cs="Arial"/>
                <w:sz w:val="18"/>
                <w:szCs w:val="18"/>
              </w:rPr>
              <w:t xml:space="preserve"> avérée</w:t>
            </w:r>
            <w:r>
              <w:rPr>
                <w:rFonts w:ascii="Arial" w:hAnsi="Arial" w:cs="Arial"/>
                <w:sz w:val="18"/>
                <w:szCs w:val="18"/>
              </w:rPr>
              <w:t>s</w:t>
            </w:r>
            <w:r w:rsidRPr="007B0A00">
              <w:rPr>
                <w:rFonts w:ascii="Arial" w:hAnsi="Arial" w:cs="Arial"/>
                <w:sz w:val="18"/>
                <w:szCs w:val="18"/>
              </w:rPr>
              <w:t xml:space="preserve"> dans la coordination SPS de niveau correspondant à la catégor</w:t>
            </w:r>
            <w:r>
              <w:rPr>
                <w:rFonts w:ascii="Arial" w:hAnsi="Arial" w:cs="Arial"/>
                <w:sz w:val="18"/>
                <w:szCs w:val="18"/>
              </w:rPr>
              <w:t>ie et à la complexité du projet,</w:t>
            </w:r>
            <w:r w:rsidRPr="007B0A00">
              <w:rPr>
                <w:rFonts w:ascii="Arial" w:hAnsi="Arial" w:cs="Arial"/>
                <w:sz w:val="18"/>
                <w:szCs w:val="18"/>
              </w:rPr>
              <w:t xml:space="preserve"> </w:t>
            </w:r>
            <w:r>
              <w:rPr>
                <w:rFonts w:ascii="Arial" w:hAnsi="Arial" w:cs="Arial"/>
                <w:color w:val="000000"/>
                <w:sz w:val="18"/>
                <w:szCs w:val="18"/>
              </w:rPr>
              <w:t>effectuées ces 3 dernières années (indiquant le montant, la date et le destinataire, prouvées par des attestations du destinataire ou, à défaut, par une déclaration de l'opérateur économique)</w:t>
            </w:r>
          </w:p>
          <w:p w:rsidR="007B0A00" w:rsidRPr="007B0A00" w:rsidRDefault="007B0A00" w:rsidP="007B0A00">
            <w:pPr>
              <w:widowControl w:val="0"/>
              <w:autoSpaceDE w:val="0"/>
              <w:autoSpaceDN w:val="0"/>
              <w:adjustRightInd w:val="0"/>
              <w:spacing w:before="60" w:after="60" w:line="240" w:lineRule="auto"/>
              <w:ind w:right="101"/>
              <w:jc w:val="both"/>
              <w:rPr>
                <w:rFonts w:ascii="Arial" w:hAnsi="Arial" w:cs="Arial"/>
                <w:i/>
                <w:sz w:val="18"/>
                <w:szCs w:val="18"/>
              </w:rPr>
            </w:pPr>
            <w:r w:rsidRPr="007B0A00">
              <w:rPr>
                <w:rFonts w:ascii="Arial" w:hAnsi="Arial" w:cs="Arial"/>
                <w:i/>
                <w:sz w:val="18"/>
                <w:szCs w:val="18"/>
              </w:rPr>
              <w:t>fournir les attestations de compétence et références récentes démontrant sa capacité à assurer la mission de coordinateur SPS</w:t>
            </w:r>
          </w:p>
        </w:tc>
      </w:tr>
      <w:tr w:rsidR="003C41DB" w:rsidTr="003C41DB">
        <w:trPr>
          <w:trHeight w:val="743"/>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Chiffre d'affaires</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8901C4">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color w:val="000000"/>
                <w:sz w:val="18"/>
                <w:szCs w:val="18"/>
              </w:rPr>
              <w:t>Déclaration concernant le chiffre d'affaires global et le chiffre d'affaires concernant les fournitures, services ou travaux objet du marché, réalisés au cours des trois derniers exercices disponibles</w:t>
            </w:r>
          </w:p>
        </w:tc>
      </w:tr>
      <w:tr w:rsidR="003C41DB" w:rsidTr="003C41DB">
        <w:trPr>
          <w:trHeight w:val="53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8901C4">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8901C4">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color w:val="000000"/>
                <w:sz w:val="18"/>
                <w:szCs w:val="18"/>
              </w:rPr>
              <w:t>Déclaration indiquant les effectifs moyens annuels du candidat et l'importance du personnel d'encadrement pour chacune des trois dernières années</w:t>
            </w:r>
          </w:p>
        </w:tc>
      </w:tr>
      <w:tr w:rsidR="005D3D1F" w:rsidTr="003C41DB">
        <w:trPr>
          <w:trHeight w:val="54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rsidP="007B0A00">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 xml:space="preserve">Attestation </w:t>
            </w:r>
            <w:r w:rsidR="007B0A00">
              <w:rPr>
                <w:rFonts w:ascii="Arial" w:hAnsi="Arial" w:cs="Arial"/>
                <w:color w:val="000000"/>
                <w:sz w:val="18"/>
                <w:szCs w:val="18"/>
              </w:rPr>
              <w:t xml:space="preserve">d’assurance </w:t>
            </w:r>
            <w:r w:rsidR="00890C84">
              <w:rPr>
                <w:rFonts w:ascii="Arial" w:hAnsi="Arial" w:cs="Arial"/>
                <w:color w:val="000000"/>
                <w:sz w:val="18"/>
                <w:szCs w:val="18"/>
              </w:rPr>
              <w:t>professionnelle responsabilit</w:t>
            </w:r>
            <w:r w:rsidR="007B0A00">
              <w:rPr>
                <w:rFonts w:ascii="Arial" w:hAnsi="Arial" w:cs="Arial"/>
                <w:color w:val="000000"/>
                <w:sz w:val="18"/>
                <w:szCs w:val="18"/>
              </w:rPr>
              <w:t>é</w:t>
            </w:r>
            <w:r w:rsidR="00890C84">
              <w:rPr>
                <w:rFonts w:ascii="Arial" w:hAnsi="Arial" w:cs="Arial"/>
                <w:color w:val="000000"/>
                <w:sz w:val="18"/>
                <w:szCs w:val="18"/>
              </w:rPr>
              <w:t xml:space="preserve"> civile</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7B0A00">
            <w:pPr>
              <w:widowControl w:val="0"/>
              <w:autoSpaceDE w:val="0"/>
              <w:autoSpaceDN w:val="0"/>
              <w:adjustRightInd w:val="0"/>
              <w:spacing w:before="60" w:after="60" w:line="240" w:lineRule="auto"/>
              <w:ind w:left="113" w:right="101"/>
              <w:rPr>
                <w:rFonts w:ascii="Arial" w:hAnsi="Arial" w:cs="Arial"/>
                <w:color w:val="000000"/>
                <w:sz w:val="18"/>
                <w:szCs w:val="18"/>
              </w:rPr>
            </w:pPr>
            <w:r>
              <w:rPr>
                <w:rFonts w:ascii="Arial" w:hAnsi="Arial" w:cs="Arial"/>
                <w:color w:val="000000"/>
                <w:sz w:val="18"/>
                <w:szCs w:val="18"/>
              </w:rPr>
              <w:t>Attestation à jour</w:t>
            </w:r>
          </w:p>
        </w:tc>
      </w:tr>
      <w:tr w:rsidR="005D3D1F" w:rsidTr="003C41DB">
        <w:trPr>
          <w:trHeight w:val="532"/>
        </w:trPr>
        <w:tc>
          <w:tcPr>
            <w:tcW w:w="2901"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Copie redressement judiciaire</w:t>
            </w:r>
          </w:p>
        </w:tc>
        <w:tc>
          <w:tcPr>
            <w:tcW w:w="6266"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rsidP="007B0A0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color w:val="000000"/>
                <w:sz w:val="18"/>
                <w:szCs w:val="18"/>
              </w:rPr>
              <w:t>Si l'entreprise est en redressement judiciaire, une copie certifiée conforme du jugement.</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en plus de l'annexe à l’acte d’engagement :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C41DB" w:rsidRDefault="003C41DB">
      <w:pPr>
        <w:rPr>
          <w:rFonts w:ascii="Arial" w:hAnsi="Arial" w:cs="Arial"/>
          <w:color w:val="000000"/>
          <w:sz w:val="20"/>
          <w:szCs w:val="20"/>
        </w:rPr>
      </w:pPr>
      <w:r>
        <w:rPr>
          <w:rFonts w:ascii="Arial" w:hAnsi="Arial" w:cs="Arial"/>
          <w:color w:val="000000"/>
          <w:sz w:val="20"/>
          <w:szCs w:val="20"/>
        </w:rPr>
        <w:br w:type="page"/>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127" w:type="dxa"/>
        <w:tblInd w:w="19" w:type="dxa"/>
        <w:tblLayout w:type="fixed"/>
        <w:tblCellMar>
          <w:left w:w="0" w:type="dxa"/>
          <w:right w:w="0" w:type="dxa"/>
        </w:tblCellMar>
        <w:tblLook w:val="0000" w:firstRow="0" w:lastRow="0" w:firstColumn="0" w:lastColumn="0" w:noHBand="0" w:noVBand="0"/>
      </w:tblPr>
      <w:tblGrid>
        <w:gridCol w:w="2880"/>
        <w:gridCol w:w="9"/>
        <w:gridCol w:w="6238"/>
      </w:tblGrid>
      <w:tr w:rsidR="005D3D1F" w:rsidTr="003C41DB">
        <w:trPr>
          <w:cantSplit/>
          <w:trHeight w:val="923"/>
          <w:tblHeader/>
        </w:trPr>
        <w:tc>
          <w:tcPr>
            <w:tcW w:w="2880"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000000"/>
                <w:sz w:val="20"/>
                <w:szCs w:val="20"/>
              </w:rPr>
              <w:t>Document</w:t>
            </w:r>
          </w:p>
        </w:tc>
        <w:tc>
          <w:tcPr>
            <w:tcW w:w="6247" w:type="dxa"/>
            <w:gridSpan w:val="2"/>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000000"/>
                <w:sz w:val="20"/>
                <w:szCs w:val="20"/>
              </w:rPr>
              <w:t>Descriptif</w:t>
            </w:r>
          </w:p>
        </w:tc>
      </w:tr>
      <w:tr w:rsidR="005D3D1F" w:rsidTr="003C41DB">
        <w:trPr>
          <w:trHeight w:val="318"/>
        </w:trPr>
        <w:tc>
          <w:tcPr>
            <w:tcW w:w="2889" w:type="dxa"/>
            <w:gridSpan w:val="2"/>
            <w:tcBorders>
              <w:top w:val="single" w:sz="8" w:space="0" w:color="D9D9D9"/>
              <w:left w:val="single" w:sz="8" w:space="0" w:color="D9D9D9"/>
              <w:bottom w:val="single" w:sz="8" w:space="0" w:color="D9D9D9"/>
              <w:right w:val="single" w:sz="8" w:space="0" w:color="D9D9D9"/>
            </w:tcBorders>
            <w:shd w:val="clear" w:color="auto" w:fill="FFFFFF"/>
          </w:tcPr>
          <w:p w:rsidR="005D3D1F" w:rsidRDefault="00936B8C">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CCP/AE</w:t>
            </w:r>
          </w:p>
        </w:tc>
        <w:tc>
          <w:tcPr>
            <w:tcW w:w="623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936B8C">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 xml:space="preserve">Cahier des Clauses Particulières valant </w:t>
            </w:r>
            <w:r w:rsidR="005D3D1F">
              <w:rPr>
                <w:rFonts w:ascii="Arial" w:hAnsi="Arial" w:cs="Arial"/>
                <w:color w:val="000000"/>
                <w:sz w:val="18"/>
                <w:szCs w:val="18"/>
              </w:rPr>
              <w:t>Acte d'engagement</w:t>
            </w:r>
          </w:p>
        </w:tc>
      </w:tr>
      <w:tr w:rsidR="005D3D1F" w:rsidTr="003C41DB">
        <w:trPr>
          <w:trHeight w:val="394"/>
        </w:trPr>
        <w:tc>
          <w:tcPr>
            <w:tcW w:w="2889" w:type="dxa"/>
            <w:gridSpan w:val="2"/>
            <w:tcBorders>
              <w:top w:val="single" w:sz="8" w:space="0" w:color="D9D9D9"/>
              <w:left w:val="single" w:sz="8" w:space="0" w:color="D9D9D9"/>
              <w:bottom w:val="single" w:sz="8" w:space="0" w:color="D9D9D9"/>
              <w:right w:val="single" w:sz="8" w:space="0" w:color="D9D9D9"/>
            </w:tcBorders>
            <w:shd w:val="clear" w:color="auto" w:fill="FFFFFF"/>
          </w:tcPr>
          <w:p w:rsidR="005D3D1F" w:rsidRDefault="003C41DB">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Cadre de réponses DELAIS</w:t>
            </w:r>
          </w:p>
        </w:tc>
        <w:tc>
          <w:tcPr>
            <w:tcW w:w="623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936B8C" w:rsidP="003C41DB">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Annexé au CCP</w:t>
            </w:r>
            <w:r w:rsidR="003C41DB">
              <w:rPr>
                <w:rFonts w:ascii="Arial" w:hAnsi="Arial" w:cs="Arial"/>
                <w:color w:val="000000"/>
                <w:sz w:val="18"/>
                <w:szCs w:val="18"/>
              </w:rPr>
              <w:t>/AE</w:t>
            </w:r>
            <w:r>
              <w:rPr>
                <w:rFonts w:ascii="Arial" w:hAnsi="Arial" w:cs="Arial"/>
                <w:color w:val="000000"/>
                <w:sz w:val="18"/>
                <w:szCs w:val="18"/>
              </w:rPr>
              <w:t xml:space="preserve"> </w:t>
            </w:r>
          </w:p>
        </w:tc>
      </w:tr>
      <w:tr w:rsidR="003C41DB" w:rsidTr="003C41DB">
        <w:trPr>
          <w:trHeight w:val="271"/>
        </w:trPr>
        <w:tc>
          <w:tcPr>
            <w:tcW w:w="2889" w:type="dxa"/>
            <w:gridSpan w:val="2"/>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3C41DB">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Cadre de réponses PRIX</w:t>
            </w:r>
          </w:p>
        </w:tc>
        <w:tc>
          <w:tcPr>
            <w:tcW w:w="6238"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8901C4">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 xml:space="preserve">Annexé au CCP/AE </w:t>
            </w:r>
          </w:p>
        </w:tc>
      </w:tr>
      <w:tr w:rsidR="005D3D1F" w:rsidTr="003C41DB">
        <w:trPr>
          <w:trHeight w:val="333"/>
        </w:trPr>
        <w:tc>
          <w:tcPr>
            <w:tcW w:w="2889" w:type="dxa"/>
            <w:gridSpan w:val="2"/>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CC</w:t>
            </w:r>
            <w:r w:rsidR="00936B8C">
              <w:rPr>
                <w:rFonts w:ascii="Arial" w:hAnsi="Arial" w:cs="Arial"/>
                <w:color w:val="000000"/>
                <w:sz w:val="18"/>
                <w:szCs w:val="18"/>
              </w:rPr>
              <w:t>T</w:t>
            </w:r>
            <w:r>
              <w:rPr>
                <w:rFonts w:ascii="Arial" w:hAnsi="Arial" w:cs="Arial"/>
                <w:color w:val="000000"/>
                <w:sz w:val="18"/>
                <w:szCs w:val="18"/>
              </w:rPr>
              <w:t>P</w:t>
            </w:r>
            <w:r w:rsidR="003C41DB">
              <w:rPr>
                <w:rFonts w:ascii="Arial" w:hAnsi="Arial" w:cs="Arial"/>
                <w:color w:val="000000"/>
                <w:sz w:val="18"/>
                <w:szCs w:val="18"/>
              </w:rPr>
              <w:t xml:space="preserve"> et ses annexes (5)</w:t>
            </w:r>
          </w:p>
        </w:tc>
        <w:tc>
          <w:tcPr>
            <w:tcW w:w="623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3C41DB">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Paraphés</w:t>
            </w:r>
          </w:p>
        </w:tc>
      </w:tr>
      <w:tr w:rsidR="005D3D1F" w:rsidTr="003C41DB">
        <w:trPr>
          <w:trHeight w:val="409"/>
        </w:trPr>
        <w:tc>
          <w:tcPr>
            <w:tcW w:w="2889" w:type="dxa"/>
            <w:gridSpan w:val="2"/>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Note ou fiche méthodologique</w:t>
            </w:r>
          </w:p>
        </w:tc>
        <w:tc>
          <w:tcPr>
            <w:tcW w:w="623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Note méthodologique</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cas de discordance entre l’offre globale du fournisseur et la décomposition de cette offre, l’offre globale prévaut. Les éventuelles erreurs de multiplication, d'addition ou de report sont rectifiées par l’acheteur et le montant rectifié est pris en compte pour l’analyse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Avant notification du contrat, l’attributaire doit fournir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88"/>
        <w:gridCol w:w="6659"/>
      </w:tblGrid>
      <w:tr w:rsidR="005D3D1F" w:rsidTr="003C41DB">
        <w:trPr>
          <w:cantSplit/>
          <w:tblHeader/>
        </w:trPr>
        <w:tc>
          <w:tcPr>
            <w:tcW w:w="3088"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000000"/>
                <w:sz w:val="20"/>
                <w:szCs w:val="20"/>
              </w:rPr>
              <w:t>Document</w:t>
            </w:r>
          </w:p>
        </w:tc>
        <w:tc>
          <w:tcPr>
            <w:tcW w:w="6659" w:type="dxa"/>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000000"/>
                <w:sz w:val="20"/>
                <w:szCs w:val="20"/>
              </w:rPr>
              <w:t>Descriptif</w:t>
            </w:r>
          </w:p>
        </w:tc>
      </w:tr>
      <w:tr w:rsidR="005D3D1F" w:rsidTr="003C41DB">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5D3D1F" w:rsidTr="003C41DB">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3C41DB" w:rsidTr="003C41DB">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3C41DB" w:rsidRPr="003C41DB" w:rsidRDefault="003C41DB" w:rsidP="003C41DB">
            <w:pPr>
              <w:widowControl w:val="0"/>
              <w:autoSpaceDE w:val="0"/>
              <w:autoSpaceDN w:val="0"/>
              <w:adjustRightInd w:val="0"/>
              <w:spacing w:before="60" w:after="60" w:line="240" w:lineRule="auto"/>
              <w:ind w:left="108" w:right="100"/>
              <w:rPr>
                <w:rFonts w:ascii="Arial" w:hAnsi="Arial" w:cs="Arial"/>
                <w:color w:val="000000"/>
                <w:sz w:val="18"/>
                <w:szCs w:val="18"/>
              </w:rPr>
            </w:pPr>
            <w:r>
              <w:rPr>
                <w:rFonts w:ascii="Arial" w:hAnsi="Arial" w:cs="Arial"/>
                <w:color w:val="000000"/>
                <w:sz w:val="18"/>
                <w:szCs w:val="18"/>
              </w:rPr>
              <w:t>Attestation d’assurance professionnelle responsabilité civile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rsidP="003C41DB">
            <w:pPr>
              <w:widowControl w:val="0"/>
              <w:autoSpaceDE w:val="0"/>
              <w:autoSpaceDN w:val="0"/>
              <w:adjustRightInd w:val="0"/>
              <w:spacing w:before="60" w:after="60" w:line="240" w:lineRule="auto"/>
              <w:ind w:left="116" w:right="81"/>
              <w:rPr>
                <w:rFonts w:ascii="Arial" w:hAnsi="Arial" w:cs="Arial"/>
                <w:color w:val="000000"/>
                <w:sz w:val="18"/>
                <w:szCs w:val="18"/>
              </w:rPr>
            </w:pPr>
            <w:r>
              <w:rPr>
                <w:rFonts w:ascii="Arial" w:hAnsi="Arial" w:cs="Arial"/>
                <w:color w:val="000000"/>
                <w:sz w:val="18"/>
                <w:szCs w:val="18"/>
              </w:rPr>
              <w:t>Attestation à jour</w:t>
            </w:r>
          </w:p>
        </w:tc>
      </w:tr>
      <w:tr w:rsidR="005D3D1F" w:rsidTr="003C41DB">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3C41DB" w:rsidRDefault="003C41DB">
            <w:pPr>
              <w:widowControl w:val="0"/>
              <w:autoSpaceDE w:val="0"/>
              <w:autoSpaceDN w:val="0"/>
              <w:adjustRightInd w:val="0"/>
              <w:spacing w:before="60" w:after="60" w:line="240" w:lineRule="auto"/>
              <w:ind w:left="108" w:right="100"/>
              <w:rPr>
                <w:rFonts w:ascii="Arial" w:hAnsi="Arial" w:cs="Arial"/>
                <w:color w:val="000000"/>
                <w:sz w:val="18"/>
                <w:szCs w:val="18"/>
              </w:rPr>
            </w:pPr>
          </w:p>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Copie du ou des jugements prononcés en cas de redressement judiciaire</w:t>
            </w:r>
          </w:p>
        </w:tc>
      </w:tr>
    </w:tbl>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 les documents ne sont pas signés par la personne habilitée, ils devront être accompagnés d’un pouvoir en cours de validité.</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JUGEMENTS DES OFFRES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rsidR="005D3D1F" w:rsidRDefault="005D3D1F">
      <w:pPr>
        <w:widowControl w:val="0"/>
        <w:autoSpaceDE w:val="0"/>
        <w:autoSpaceDN w:val="0"/>
        <w:adjustRightInd w:val="0"/>
        <w:spacing w:after="0" w:line="240" w:lineRule="auto"/>
        <w:ind w:left="117" w:right="111"/>
        <w:rPr>
          <w:rFonts w:ascii="Arial" w:hAnsi="Arial" w:cs="Arial"/>
          <w:color w:val="000000"/>
          <w:sz w:val="12"/>
          <w:szCs w:val="12"/>
        </w:rPr>
      </w:pPr>
    </w:p>
    <w:p w:rsidR="003C41DB" w:rsidRDefault="003C41DB" w:rsidP="003C41DB">
      <w:pPr>
        <w:pStyle w:val="Paragraphedeliste"/>
        <w:numPr>
          <w:ilvl w:val="0"/>
          <w:numId w:val="33"/>
        </w:numPr>
        <w:spacing w:after="0" w:line="240" w:lineRule="auto"/>
        <w:contextualSpacing w:val="0"/>
        <w:jc w:val="both"/>
        <w:rPr>
          <w:rFonts w:ascii="Calibri" w:hAnsi="Calibri" w:cs="Calibri"/>
          <w:b/>
          <w:bCs/>
          <w:color w:val="000000"/>
        </w:rPr>
      </w:pPr>
      <w:r w:rsidRPr="008D074D">
        <w:rPr>
          <w:rFonts w:ascii="Calibri" w:hAnsi="Calibri" w:cs="Calibri"/>
          <w:b/>
          <w:bCs/>
          <w:color w:val="000000"/>
        </w:rPr>
        <w:t>Délai maximum de remise des documents contractuels en conception et exécution (40%)</w:t>
      </w:r>
    </w:p>
    <w:p w:rsidR="003C41DB" w:rsidRPr="008D074D" w:rsidRDefault="003C41DB" w:rsidP="003C41DB">
      <w:pPr>
        <w:pStyle w:val="Paragraphedeliste"/>
        <w:numPr>
          <w:ilvl w:val="0"/>
          <w:numId w:val="34"/>
        </w:numPr>
        <w:spacing w:after="0" w:line="240" w:lineRule="auto"/>
        <w:contextualSpacing w:val="0"/>
        <w:jc w:val="both"/>
        <w:rPr>
          <w:rFonts w:ascii="Calibri" w:hAnsi="Calibri" w:cs="Calibri"/>
          <w:bCs/>
          <w:color w:val="000000"/>
        </w:rPr>
      </w:pPr>
      <w:r w:rsidRPr="008D074D">
        <w:rPr>
          <w:rFonts w:ascii="Calibri" w:hAnsi="Calibri" w:cs="Calibri"/>
          <w:bCs/>
          <w:color w:val="000000"/>
        </w:rPr>
        <w:t>Niveau 1 : Délai de restitution des pièces 20%</w:t>
      </w:r>
    </w:p>
    <w:p w:rsidR="003C41DB" w:rsidRPr="008D074D" w:rsidRDefault="003C41DB" w:rsidP="003C41DB">
      <w:pPr>
        <w:pStyle w:val="Paragraphedeliste"/>
        <w:numPr>
          <w:ilvl w:val="0"/>
          <w:numId w:val="34"/>
        </w:numPr>
        <w:spacing w:after="0" w:line="240" w:lineRule="auto"/>
        <w:contextualSpacing w:val="0"/>
        <w:jc w:val="both"/>
        <w:rPr>
          <w:rFonts w:ascii="Calibri" w:hAnsi="Calibri" w:cs="Calibri"/>
          <w:bCs/>
          <w:color w:val="000000"/>
        </w:rPr>
      </w:pPr>
      <w:r w:rsidRPr="008D074D">
        <w:rPr>
          <w:rFonts w:ascii="Calibri" w:hAnsi="Calibri" w:cs="Calibri"/>
          <w:bCs/>
          <w:color w:val="000000"/>
        </w:rPr>
        <w:t>Niveau 2 : Délai de restitution des pièces 40%</w:t>
      </w:r>
    </w:p>
    <w:p w:rsidR="003C41DB" w:rsidRPr="008D074D" w:rsidRDefault="003C41DB" w:rsidP="003C41DB">
      <w:pPr>
        <w:pStyle w:val="Paragraphedeliste"/>
        <w:numPr>
          <w:ilvl w:val="0"/>
          <w:numId w:val="34"/>
        </w:numPr>
        <w:spacing w:after="0" w:line="240" w:lineRule="auto"/>
        <w:contextualSpacing w:val="0"/>
        <w:jc w:val="both"/>
        <w:rPr>
          <w:rFonts w:ascii="Calibri" w:hAnsi="Calibri" w:cs="Calibri"/>
          <w:bCs/>
          <w:color w:val="000000"/>
        </w:rPr>
      </w:pPr>
      <w:r w:rsidRPr="008D074D">
        <w:rPr>
          <w:rFonts w:ascii="Calibri" w:hAnsi="Calibri" w:cs="Calibri"/>
          <w:bCs/>
          <w:color w:val="000000"/>
        </w:rPr>
        <w:t>Niveau 3 : Délai de restitution des pièces 40%</w:t>
      </w:r>
    </w:p>
    <w:p w:rsidR="003C41DB" w:rsidRPr="008D074D" w:rsidRDefault="003C41DB" w:rsidP="003C41DB">
      <w:pPr>
        <w:pStyle w:val="Paragraphedeliste"/>
        <w:numPr>
          <w:ilvl w:val="0"/>
          <w:numId w:val="33"/>
        </w:numPr>
        <w:spacing w:after="0" w:line="240" w:lineRule="auto"/>
        <w:contextualSpacing w:val="0"/>
        <w:jc w:val="both"/>
        <w:rPr>
          <w:rFonts w:ascii="Calibri" w:hAnsi="Calibri" w:cs="Calibri"/>
        </w:rPr>
      </w:pPr>
      <w:r w:rsidRPr="00246488">
        <w:rPr>
          <w:rFonts w:ascii="Calibri" w:hAnsi="Calibri" w:cs="Calibri"/>
          <w:b/>
          <w:bCs/>
          <w:color w:val="000000"/>
        </w:rPr>
        <w:t>Prix 60%</w:t>
      </w:r>
    </w:p>
    <w:p w:rsidR="003C41DB" w:rsidRDefault="003C41DB" w:rsidP="003C41DB">
      <w:pPr>
        <w:pStyle w:val="Paragraphedeliste"/>
        <w:numPr>
          <w:ilvl w:val="0"/>
          <w:numId w:val="35"/>
        </w:numPr>
        <w:spacing w:after="0" w:line="240" w:lineRule="auto"/>
        <w:contextualSpacing w:val="0"/>
        <w:jc w:val="both"/>
        <w:rPr>
          <w:rFonts w:ascii="Calibri" w:hAnsi="Calibri" w:cs="Calibri"/>
        </w:rPr>
      </w:pPr>
      <w:r w:rsidRPr="008D074D">
        <w:rPr>
          <w:rFonts w:ascii="Calibri" w:hAnsi="Calibri" w:cs="Calibri"/>
        </w:rPr>
        <w:t>Niveau 1 : Pourcentage de Rémunération 20%</w:t>
      </w:r>
    </w:p>
    <w:p w:rsidR="003C41DB" w:rsidRDefault="003C41DB" w:rsidP="003C41DB">
      <w:pPr>
        <w:pStyle w:val="Paragraphedeliste"/>
        <w:numPr>
          <w:ilvl w:val="0"/>
          <w:numId w:val="35"/>
        </w:numPr>
        <w:spacing w:after="0" w:line="240" w:lineRule="auto"/>
        <w:contextualSpacing w:val="0"/>
        <w:jc w:val="both"/>
        <w:rPr>
          <w:rFonts w:ascii="Calibri" w:hAnsi="Calibri" w:cs="Calibri"/>
        </w:rPr>
      </w:pPr>
      <w:r w:rsidRPr="008D074D">
        <w:rPr>
          <w:rFonts w:ascii="Calibri" w:hAnsi="Calibri" w:cs="Calibri"/>
        </w:rPr>
        <w:t>Niveau 2: Pourcentage de Rémunération 40%</w:t>
      </w:r>
    </w:p>
    <w:p w:rsidR="003C41DB" w:rsidRPr="008D074D" w:rsidRDefault="003C41DB" w:rsidP="003C41DB">
      <w:pPr>
        <w:pStyle w:val="Paragraphedeliste"/>
        <w:numPr>
          <w:ilvl w:val="0"/>
          <w:numId w:val="35"/>
        </w:numPr>
        <w:spacing w:after="0" w:line="240" w:lineRule="auto"/>
        <w:contextualSpacing w:val="0"/>
        <w:jc w:val="both"/>
        <w:rPr>
          <w:rFonts w:ascii="Calibri" w:hAnsi="Calibri" w:cs="Calibri"/>
        </w:rPr>
      </w:pPr>
      <w:r w:rsidRPr="008D074D">
        <w:rPr>
          <w:rFonts w:ascii="Calibri" w:hAnsi="Calibri" w:cs="Calibri"/>
        </w:rPr>
        <w:t>Niveau 3 : Pourcentage de Rémunération 40%</w:t>
      </w:r>
    </w:p>
    <w:p w:rsidR="003C41DB" w:rsidRDefault="003C41D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AF1195" w:rsidRPr="00447C52" w:rsidRDefault="00AF1195" w:rsidP="00AF1195">
      <w:pPr>
        <w:widowControl w:val="0"/>
        <w:autoSpaceDE w:val="0"/>
        <w:autoSpaceDN w:val="0"/>
        <w:adjustRightInd w:val="0"/>
        <w:spacing w:before="120" w:after="120" w:line="240" w:lineRule="auto"/>
        <w:ind w:left="117"/>
        <w:jc w:val="both"/>
        <w:rPr>
          <w:rFonts w:ascii="Arial" w:hAnsi="Arial" w:cs="Arial"/>
          <w:sz w:val="24"/>
          <w:szCs w:val="24"/>
        </w:rPr>
      </w:pPr>
      <w:r w:rsidRPr="00447C52">
        <w:rPr>
          <w:rFonts w:ascii="Arial" w:hAnsi="Arial" w:cs="Arial"/>
          <w:color w:val="000000"/>
          <w:sz w:val="20"/>
          <w:szCs w:val="20"/>
        </w:rPr>
        <w:t>Les candidats sont invités à remettre d'emblée leur meilleure proposition. L'acheteur se réserve la possibilité d'engager des négociations.</w:t>
      </w:r>
    </w:p>
    <w:p w:rsidR="00AF1195" w:rsidRPr="00447C52" w:rsidRDefault="00AF1195" w:rsidP="00AF1195">
      <w:pPr>
        <w:widowControl w:val="0"/>
        <w:autoSpaceDE w:val="0"/>
        <w:autoSpaceDN w:val="0"/>
        <w:adjustRightInd w:val="0"/>
        <w:spacing w:before="120" w:after="120" w:line="240" w:lineRule="auto"/>
        <w:ind w:left="117"/>
        <w:jc w:val="both"/>
        <w:rPr>
          <w:rFonts w:ascii="Arial" w:hAnsi="Arial" w:cs="Arial"/>
          <w:sz w:val="24"/>
          <w:szCs w:val="24"/>
        </w:rPr>
      </w:pPr>
      <w:r w:rsidRPr="00447C52">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rsidR="00AF1195" w:rsidRPr="00447C52" w:rsidRDefault="00AF1195" w:rsidP="00AF1195">
      <w:pPr>
        <w:widowControl w:val="0"/>
        <w:autoSpaceDE w:val="0"/>
        <w:autoSpaceDN w:val="0"/>
        <w:adjustRightInd w:val="0"/>
        <w:spacing w:before="120" w:after="120" w:line="240" w:lineRule="auto"/>
        <w:ind w:left="117"/>
        <w:jc w:val="both"/>
        <w:rPr>
          <w:rFonts w:ascii="Arial" w:hAnsi="Arial" w:cs="Arial"/>
          <w:sz w:val="24"/>
          <w:szCs w:val="24"/>
        </w:rPr>
      </w:pPr>
      <w:r w:rsidRPr="00447C52">
        <w:rPr>
          <w:rFonts w:ascii="Arial" w:hAnsi="Arial" w:cs="Arial"/>
          <w:color w:val="000000"/>
          <w:sz w:val="20"/>
          <w:szCs w:val="20"/>
        </w:rPr>
        <w:t>Les négociations seront engagées avec les 2 candidats les mieux classés à l'issue de l'analyse des offres initiales. Les candidats en seront avisés par écrit.</w:t>
      </w:r>
    </w:p>
    <w:p w:rsidR="00AF1195" w:rsidRPr="00447C52" w:rsidRDefault="00AF1195" w:rsidP="00AF1195">
      <w:pPr>
        <w:widowControl w:val="0"/>
        <w:autoSpaceDE w:val="0"/>
        <w:autoSpaceDN w:val="0"/>
        <w:adjustRightInd w:val="0"/>
        <w:spacing w:before="120" w:after="120" w:line="240" w:lineRule="auto"/>
        <w:ind w:left="117"/>
        <w:jc w:val="both"/>
        <w:rPr>
          <w:rFonts w:ascii="Arial" w:hAnsi="Arial" w:cs="Arial"/>
          <w:sz w:val="24"/>
          <w:szCs w:val="24"/>
        </w:rPr>
      </w:pPr>
      <w:r w:rsidRPr="00447C52">
        <w:rPr>
          <w:rFonts w:ascii="Arial" w:hAnsi="Arial" w:cs="Arial"/>
          <w:color w:val="000000"/>
          <w:sz w:val="20"/>
          <w:szCs w:val="20"/>
        </w:rPr>
        <w:t>Les négociations seront conduites dans le respect des principes d'égalité de traitement des candidats et de confidentialité des offres. Les négociations seront conduites de manière dématérialisée sur le profil acheteur exclusivement. Les échanges résultant de la négociation seront formalisés par écrit. A l'achèvement des négociations, les offres négociées feront l'objet d'un dernier classement.</w:t>
      </w:r>
    </w:p>
    <w:p w:rsidR="00AF1195" w:rsidRPr="00447C52" w:rsidRDefault="00AF1195" w:rsidP="00AF1195">
      <w:pPr>
        <w:widowControl w:val="0"/>
        <w:autoSpaceDE w:val="0"/>
        <w:autoSpaceDN w:val="0"/>
        <w:adjustRightInd w:val="0"/>
        <w:spacing w:before="120" w:after="120" w:line="240" w:lineRule="auto"/>
        <w:ind w:left="117"/>
        <w:jc w:val="both"/>
        <w:rPr>
          <w:rFonts w:ascii="Arial" w:hAnsi="Arial" w:cs="Arial"/>
          <w:sz w:val="24"/>
          <w:szCs w:val="24"/>
        </w:rPr>
      </w:pPr>
      <w:r w:rsidRPr="00447C52">
        <w:rPr>
          <w:rFonts w:ascii="Arial" w:hAnsi="Arial" w:cs="Arial"/>
          <w:color w:val="000000"/>
          <w:sz w:val="20"/>
          <w:szCs w:val="20"/>
        </w:rPr>
        <w:t>Toutefois l’acheteur pourra attribuer le contrat sur la base des offres initiales sans négociation.</w:t>
      </w:r>
    </w:p>
    <w:p w:rsidR="00C16E7F" w:rsidRDefault="00C16E7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rsidP="0056386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b/>
          <w:bCs/>
          <w:color w:val="595959"/>
          <w:sz w:val="28"/>
          <w:szCs w:val="28"/>
        </w:rPr>
        <w:t>RENSEIGNEMENTS COMPLEMENTAIRES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Pour obtenir tous renseignements complémentaires qui leur seraient nécessaires au cours de leur étude, les candidats font parvenir au plus tard 10 jours avant la date limite de remise des offres, une demande écrite à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Renseignements administratifs</w:t>
      </w:r>
      <w:r w:rsidR="00FF3FC2">
        <w:rPr>
          <w:rFonts w:ascii="Arial" w:hAnsi="Arial" w:cs="Arial"/>
          <w:b/>
          <w:bCs/>
          <w:color w:val="000000"/>
          <w:sz w:val="20"/>
          <w:szCs w:val="20"/>
        </w:rPr>
        <w:t xml:space="preserve"> et techniques</w:t>
      </w:r>
      <w:r>
        <w:rPr>
          <w:rFonts w:ascii="Arial" w:hAnsi="Arial" w:cs="Arial"/>
          <w:b/>
          <w:bCs/>
          <w:color w:val="000000"/>
          <w:sz w:val="20"/>
          <w:szCs w:val="20"/>
        </w:rPr>
        <w: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demandes de renseignements administratifs ou juridiques doivent être envoyées sur le profil d’acheteur. En cas d’empêchement, il convient de s’adresser à :</w:t>
      </w:r>
    </w:p>
    <w:p w:rsidR="005D3D1F" w:rsidRDefault="00E047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hyperlink r:id="rId9" w:history="1">
        <w:r w:rsidRPr="00166A83">
          <w:rPr>
            <w:rStyle w:val="Lienhypertexte"/>
            <w:rFonts w:ascii="Arial" w:hAnsi="Arial" w:cs="Arial"/>
            <w:sz w:val="20"/>
            <w:szCs w:val="20"/>
          </w:rPr>
          <w:t>marchespublics@cgss-martinique.fr</w:t>
        </w:r>
      </w:hyperlink>
      <w:r>
        <w:rPr>
          <w:rFonts w:ascii="Arial" w:hAnsi="Arial" w:cs="Arial"/>
          <w:color w:val="000000"/>
          <w:sz w:val="20"/>
          <w:szCs w:val="20"/>
        </w:rPr>
        <w:t xml:space="preserve"> </w:t>
      </w:r>
      <w:bookmarkStart w:id="6" w:name="_GoBack"/>
      <w:bookmarkEnd w:id="6"/>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E04730" w:rsidRDefault="00E047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Tribunal Judiciaire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35 Boulevard du Général de Gaulle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97200 Fort-de-France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08 99 02 51 35</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Courriel : </w:t>
      </w:r>
      <w:hyperlink r:id="rId10" w:history="1">
        <w:r w:rsidR="00E04730" w:rsidRPr="00166A83">
          <w:rPr>
            <w:rStyle w:val="Lienhypertexte"/>
            <w:rFonts w:ascii="Arial" w:hAnsi="Arial" w:cs="Arial"/>
            <w:sz w:val="20"/>
            <w:szCs w:val="20"/>
          </w:rPr>
          <w:t>gug.fort-de-france@justice.fr</w:t>
        </w:r>
      </w:hyperlink>
      <w:r w:rsidR="00E04730">
        <w:rPr>
          <w:rFonts w:ascii="Arial" w:hAnsi="Arial" w:cs="Arial"/>
          <w:color w:val="000000"/>
          <w:sz w:val="20"/>
          <w:szCs w:val="20"/>
        </w:rPr>
        <w:t xml:space="preserve">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https://www.justice.gouv.fr</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7" w:name="page_total_master0"/>
      <w:bookmarkStart w:id="8" w:name="page_total"/>
      <w:bookmarkEnd w:id="7"/>
      <w:bookmarkEnd w:id="8"/>
    </w:p>
    <w:sectPr w:rsidR="005D3D1F">
      <w:footerReference w:type="default" r:id="rId11"/>
      <w:headerReference w:type="first" r:id="rId12"/>
      <w:footerReference w:type="first" r:id="rId13"/>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44" w:rsidRDefault="00EB4A44">
      <w:pPr>
        <w:spacing w:after="0" w:line="240" w:lineRule="auto"/>
      </w:pPr>
      <w:r>
        <w:separator/>
      </w:r>
    </w:p>
  </w:endnote>
  <w:endnote w:type="continuationSeparator" w:id="0">
    <w:p w:rsidR="00EB4A44" w:rsidRDefault="00EB4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5D3D1F">
      <w:tc>
        <w:tcPr>
          <w:tcW w:w="8330" w:type="dxa"/>
          <w:tcBorders>
            <w:top w:val="single" w:sz="4" w:space="0" w:color="BFBFBF"/>
            <w:left w:val="nil"/>
            <w:bottom w:val="nil"/>
            <w:right w:val="nil"/>
          </w:tcBorders>
          <w:shd w:val="clear" w:color="auto" w:fill="FFFFFF"/>
          <w:vAlign w:val="center"/>
        </w:tcPr>
        <w:p w:rsidR="005D3D1F" w:rsidRDefault="005D3D1F" w:rsidP="003C41DB">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Consultation n°251</w:t>
          </w:r>
          <w:r w:rsidR="003C41DB">
            <w:rPr>
              <w:rFonts w:ascii="Arial" w:hAnsi="Arial" w:cs="Arial"/>
              <w:color w:val="595959"/>
              <w:sz w:val="16"/>
              <w:szCs w:val="16"/>
            </w:rPr>
            <w:t>4</w:t>
          </w:r>
          <w:r>
            <w:rPr>
              <w:rFonts w:ascii="Arial" w:hAnsi="Arial" w:cs="Arial"/>
              <w:color w:val="595959"/>
              <w:sz w:val="16"/>
              <w:szCs w:val="16"/>
            </w:rPr>
            <w:t>00</w:t>
          </w:r>
        </w:p>
      </w:tc>
      <w:tc>
        <w:tcPr>
          <w:tcW w:w="882" w:type="dxa"/>
          <w:tcBorders>
            <w:top w:val="single" w:sz="4" w:space="0" w:color="BFBFBF"/>
            <w:left w:val="nil"/>
            <w:bottom w:val="nil"/>
            <w:right w:val="nil"/>
          </w:tcBorders>
          <w:shd w:val="clear" w:color="auto" w:fill="595959"/>
          <w:vAlign w:val="center"/>
        </w:tcPr>
        <w:p w:rsidR="005D3D1F" w:rsidRDefault="005D3D1F">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E04730">
            <w:rPr>
              <w:rFonts w:ascii="Arial" w:hAnsi="Arial" w:cs="Arial"/>
              <w:noProof/>
              <w:color w:val="FFFFFF"/>
              <w:sz w:val="16"/>
              <w:szCs w:val="16"/>
            </w:rPr>
            <w:t>8</w:t>
          </w:r>
          <w:r>
            <w:rPr>
              <w:rFonts w:ascii="Arial" w:hAnsi="Arial" w:cs="Arial"/>
              <w:color w:val="FFFFFF"/>
              <w:sz w:val="16"/>
              <w:szCs w:val="16"/>
            </w:rPr>
            <w:fldChar w:fldCharType="end"/>
          </w:r>
        </w:p>
      </w:tc>
    </w:tr>
  </w:tbl>
  <w:p w:rsidR="005D3D1F" w:rsidRDefault="005D3D1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D1F" w:rsidRDefault="005D3D1F">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44" w:rsidRDefault="00EB4A44">
      <w:pPr>
        <w:spacing w:after="0" w:line="240" w:lineRule="auto"/>
      </w:pPr>
      <w:r>
        <w:separator/>
      </w:r>
    </w:p>
  </w:footnote>
  <w:footnote w:type="continuationSeparator" w:id="0">
    <w:p w:rsidR="00EB4A44" w:rsidRDefault="00EB4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D1F" w:rsidRDefault="005D3D1F">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3228B4"/>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47"/>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Symbol" w:hAnsi="Symbo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Symbol" w:hAnsi="Symbo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29"/>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C9D10AE"/>
    <w:multiLevelType w:val="hybridMultilevel"/>
    <w:tmpl w:val="4F969DA2"/>
    <w:lvl w:ilvl="0" w:tplc="6B5E78FE">
      <w:start w:val="1"/>
      <w:numFmt w:val="bullet"/>
      <w:lvlText w:val=""/>
      <w:lvlJc w:val="left"/>
      <w:pPr>
        <w:ind w:left="720" w:hanging="360"/>
      </w:pPr>
      <w:rPr>
        <w:rFonts w:ascii="Wingdings 3" w:hAnsi="Wingdings 3"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E671808"/>
    <w:multiLevelType w:val="hybridMultilevel"/>
    <w:tmpl w:val="47308BD6"/>
    <w:lvl w:ilvl="0" w:tplc="DAE6557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78559A1"/>
    <w:multiLevelType w:val="multilevel"/>
    <w:tmpl w:val="00000051"/>
    <w:lvl w:ilvl="0">
      <w:start w:val="1"/>
      <w:numFmt w:val="bullet"/>
      <w:lvlText w:val=""/>
      <w:lvlJc w:val="left"/>
      <w:pPr>
        <w:tabs>
          <w:tab w:val="num" w:pos="108"/>
        </w:tabs>
        <w:ind w:left="828" w:hanging="360"/>
      </w:pPr>
      <w:rPr>
        <w:rFonts w:ascii="Symbol" w:hAnsi="Symbo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7" w15:restartNumberingAfterBreak="0">
    <w:nsid w:val="2DF5396F"/>
    <w:multiLevelType w:val="hybridMultilevel"/>
    <w:tmpl w:val="F9F823D4"/>
    <w:lvl w:ilvl="0" w:tplc="0F98B406">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1582A34"/>
    <w:multiLevelType w:val="singleLevel"/>
    <w:tmpl w:val="9614FAEC"/>
    <w:lvl w:ilvl="0">
      <w:start w:val="3"/>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391C2F11"/>
    <w:multiLevelType w:val="hybridMultilevel"/>
    <w:tmpl w:val="2F2022F6"/>
    <w:lvl w:ilvl="0" w:tplc="5BF891F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5592182F"/>
    <w:multiLevelType w:val="hybridMultilevel"/>
    <w:tmpl w:val="CF323E50"/>
    <w:lvl w:ilvl="0" w:tplc="040C0011">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2EF3721"/>
    <w:multiLevelType w:val="multilevel"/>
    <w:tmpl w:val="0000003D"/>
    <w:lvl w:ilvl="0">
      <w:start w:val="1"/>
      <w:numFmt w:val="bullet"/>
      <w:lvlText w:val=""/>
      <w:lvlJc w:val="left"/>
      <w:pPr>
        <w:tabs>
          <w:tab w:val="num" w:pos="108"/>
        </w:tabs>
        <w:ind w:left="1535" w:hanging="360"/>
      </w:pPr>
      <w:rPr>
        <w:rFonts w:ascii="Symbol" w:hAnsi="Symbol"/>
        <w:color w:val="000000"/>
        <w:sz w:val="24"/>
      </w:rPr>
    </w:lvl>
    <w:lvl w:ilvl="1">
      <w:start w:val="1"/>
      <w:numFmt w:val="bullet"/>
      <w:lvlText w:val="o"/>
      <w:lvlJc w:val="left"/>
      <w:pPr>
        <w:tabs>
          <w:tab w:val="num" w:pos="108"/>
        </w:tabs>
        <w:ind w:left="2255" w:hanging="360"/>
      </w:pPr>
      <w:rPr>
        <w:rFonts w:ascii="Courier New" w:hAnsi="Courier New"/>
        <w:color w:val="000000"/>
        <w:sz w:val="24"/>
      </w:rPr>
    </w:lvl>
    <w:lvl w:ilvl="2">
      <w:start w:val="1"/>
      <w:numFmt w:val="bullet"/>
      <w:lvlText w:val=""/>
      <w:lvlJc w:val="left"/>
      <w:pPr>
        <w:tabs>
          <w:tab w:val="num" w:pos="108"/>
        </w:tabs>
        <w:ind w:left="2975" w:hanging="360"/>
      </w:pPr>
      <w:rPr>
        <w:rFonts w:ascii="Arial" w:hAnsi="Arial"/>
        <w:color w:val="000000"/>
        <w:sz w:val="24"/>
      </w:rPr>
    </w:lvl>
    <w:lvl w:ilvl="3">
      <w:start w:val="1"/>
      <w:numFmt w:val="bullet"/>
      <w:lvlText w:val=""/>
      <w:lvlJc w:val="left"/>
      <w:pPr>
        <w:tabs>
          <w:tab w:val="num" w:pos="108"/>
        </w:tabs>
        <w:ind w:left="3695" w:hanging="360"/>
      </w:pPr>
      <w:rPr>
        <w:rFonts w:ascii="Symbol" w:hAnsi="Symbol"/>
        <w:color w:val="000000"/>
        <w:sz w:val="24"/>
      </w:rPr>
    </w:lvl>
    <w:lvl w:ilvl="4">
      <w:start w:val="1"/>
      <w:numFmt w:val="bullet"/>
      <w:lvlText w:val="o"/>
      <w:lvlJc w:val="left"/>
      <w:pPr>
        <w:tabs>
          <w:tab w:val="num" w:pos="108"/>
        </w:tabs>
        <w:ind w:left="4415" w:hanging="360"/>
      </w:pPr>
      <w:rPr>
        <w:rFonts w:ascii="Courier New" w:hAnsi="Courier New"/>
        <w:color w:val="000000"/>
        <w:sz w:val="24"/>
      </w:rPr>
    </w:lvl>
    <w:lvl w:ilvl="5">
      <w:start w:val="1"/>
      <w:numFmt w:val="bullet"/>
      <w:lvlText w:val=""/>
      <w:lvlJc w:val="left"/>
      <w:pPr>
        <w:tabs>
          <w:tab w:val="num" w:pos="108"/>
        </w:tabs>
        <w:ind w:left="5135" w:hanging="360"/>
      </w:pPr>
      <w:rPr>
        <w:rFonts w:ascii="Arial" w:hAnsi="Arial"/>
        <w:color w:val="000000"/>
        <w:sz w:val="24"/>
      </w:rPr>
    </w:lvl>
    <w:lvl w:ilvl="6">
      <w:start w:val="1"/>
      <w:numFmt w:val="bullet"/>
      <w:lvlText w:val=""/>
      <w:lvlJc w:val="left"/>
      <w:pPr>
        <w:tabs>
          <w:tab w:val="num" w:pos="108"/>
        </w:tabs>
        <w:ind w:left="5855" w:hanging="360"/>
      </w:pPr>
      <w:rPr>
        <w:rFonts w:ascii="Symbol" w:hAnsi="Symbol"/>
        <w:color w:val="000000"/>
        <w:sz w:val="24"/>
      </w:rPr>
    </w:lvl>
    <w:lvl w:ilvl="7">
      <w:start w:val="1"/>
      <w:numFmt w:val="bullet"/>
      <w:lvlText w:val="o"/>
      <w:lvlJc w:val="left"/>
      <w:pPr>
        <w:tabs>
          <w:tab w:val="num" w:pos="108"/>
        </w:tabs>
        <w:ind w:left="6575" w:hanging="360"/>
      </w:pPr>
      <w:rPr>
        <w:rFonts w:ascii="Courier New" w:hAnsi="Courier New"/>
        <w:color w:val="000000"/>
        <w:sz w:val="24"/>
      </w:rPr>
    </w:lvl>
    <w:lvl w:ilvl="8">
      <w:start w:val="1"/>
      <w:numFmt w:val="bullet"/>
      <w:lvlText w:val=""/>
      <w:lvlJc w:val="left"/>
      <w:pPr>
        <w:tabs>
          <w:tab w:val="num" w:pos="108"/>
        </w:tabs>
        <w:ind w:left="7295" w:hanging="360"/>
      </w:pPr>
      <w:rPr>
        <w:rFonts w:ascii="Arial" w:hAnsi="Arial"/>
        <w:color w:val="000000"/>
        <w:sz w:val="24"/>
      </w:rPr>
    </w:lvl>
  </w:abstractNum>
  <w:abstractNum w:abstractNumId="12" w15:restartNumberingAfterBreak="0">
    <w:nsid w:val="6B2E02D6"/>
    <w:multiLevelType w:val="multilevel"/>
    <w:tmpl w:val="0000001F"/>
    <w:lvl w:ilvl="0">
      <w:start w:val="1"/>
      <w:numFmt w:val="bullet"/>
      <w:lvlText w:val=""/>
      <w:lvlJc w:val="left"/>
      <w:pPr>
        <w:tabs>
          <w:tab w:val="num" w:pos="108"/>
        </w:tabs>
        <w:ind w:left="1536" w:hanging="360"/>
      </w:pPr>
      <w:rPr>
        <w:rFonts w:ascii="Symbol" w:hAnsi="Symbol"/>
        <w:color w:val="000000"/>
        <w:sz w:val="24"/>
      </w:rPr>
    </w:lvl>
    <w:lvl w:ilvl="1">
      <w:start w:val="1"/>
      <w:numFmt w:val="bullet"/>
      <w:lvlText w:val="o"/>
      <w:lvlJc w:val="left"/>
      <w:pPr>
        <w:tabs>
          <w:tab w:val="num" w:pos="108"/>
        </w:tabs>
        <w:ind w:left="2256" w:hanging="360"/>
      </w:pPr>
      <w:rPr>
        <w:rFonts w:ascii="Courier New" w:hAnsi="Courier New"/>
        <w:color w:val="000000"/>
        <w:sz w:val="24"/>
      </w:rPr>
    </w:lvl>
    <w:lvl w:ilvl="2">
      <w:start w:val="1"/>
      <w:numFmt w:val="bullet"/>
      <w:lvlText w:val=""/>
      <w:lvlJc w:val="left"/>
      <w:pPr>
        <w:tabs>
          <w:tab w:val="num" w:pos="108"/>
        </w:tabs>
        <w:ind w:left="2975" w:hanging="360"/>
      </w:pPr>
      <w:rPr>
        <w:rFonts w:ascii="Arial" w:hAnsi="Arial"/>
        <w:color w:val="000000"/>
        <w:sz w:val="24"/>
      </w:rPr>
    </w:lvl>
    <w:lvl w:ilvl="3">
      <w:start w:val="1"/>
      <w:numFmt w:val="bullet"/>
      <w:lvlText w:val=""/>
      <w:lvlJc w:val="left"/>
      <w:pPr>
        <w:tabs>
          <w:tab w:val="num" w:pos="108"/>
        </w:tabs>
        <w:ind w:left="3695" w:hanging="360"/>
      </w:pPr>
      <w:rPr>
        <w:rFonts w:ascii="Symbol" w:hAnsi="Symbol"/>
        <w:color w:val="000000"/>
        <w:sz w:val="24"/>
      </w:rPr>
    </w:lvl>
    <w:lvl w:ilvl="4">
      <w:start w:val="1"/>
      <w:numFmt w:val="bullet"/>
      <w:lvlText w:val="o"/>
      <w:lvlJc w:val="left"/>
      <w:pPr>
        <w:tabs>
          <w:tab w:val="num" w:pos="108"/>
        </w:tabs>
        <w:ind w:left="4416" w:hanging="360"/>
      </w:pPr>
      <w:rPr>
        <w:rFonts w:ascii="Courier New" w:hAnsi="Courier New"/>
        <w:color w:val="000000"/>
        <w:sz w:val="24"/>
      </w:rPr>
    </w:lvl>
    <w:lvl w:ilvl="5">
      <w:start w:val="1"/>
      <w:numFmt w:val="bullet"/>
      <w:lvlText w:val=""/>
      <w:lvlJc w:val="left"/>
      <w:pPr>
        <w:tabs>
          <w:tab w:val="num" w:pos="108"/>
        </w:tabs>
        <w:ind w:left="5136" w:hanging="360"/>
      </w:pPr>
      <w:rPr>
        <w:rFonts w:ascii="Arial" w:hAnsi="Arial"/>
        <w:color w:val="000000"/>
        <w:sz w:val="24"/>
      </w:rPr>
    </w:lvl>
    <w:lvl w:ilvl="6">
      <w:start w:val="1"/>
      <w:numFmt w:val="bullet"/>
      <w:lvlText w:val=""/>
      <w:lvlJc w:val="left"/>
      <w:pPr>
        <w:tabs>
          <w:tab w:val="num" w:pos="108"/>
        </w:tabs>
        <w:ind w:left="5856" w:hanging="360"/>
      </w:pPr>
      <w:rPr>
        <w:rFonts w:ascii="Symbol" w:hAnsi="Symbol"/>
        <w:color w:val="000000"/>
        <w:sz w:val="24"/>
      </w:rPr>
    </w:lvl>
    <w:lvl w:ilvl="7">
      <w:start w:val="1"/>
      <w:numFmt w:val="bullet"/>
      <w:lvlText w:val="o"/>
      <w:lvlJc w:val="left"/>
      <w:pPr>
        <w:tabs>
          <w:tab w:val="num" w:pos="108"/>
        </w:tabs>
        <w:ind w:left="6576" w:hanging="360"/>
      </w:pPr>
      <w:rPr>
        <w:rFonts w:ascii="Courier New" w:hAnsi="Courier New"/>
        <w:color w:val="000000"/>
        <w:sz w:val="24"/>
      </w:rPr>
    </w:lvl>
    <w:lvl w:ilvl="8">
      <w:start w:val="1"/>
      <w:numFmt w:val="bullet"/>
      <w:lvlText w:val=""/>
      <w:lvlJc w:val="left"/>
      <w:pPr>
        <w:tabs>
          <w:tab w:val="num" w:pos="108"/>
        </w:tabs>
        <w:ind w:left="7296" w:hanging="360"/>
      </w:pPr>
      <w:rPr>
        <w:rFonts w:ascii="Arial" w:hAnsi="Arial"/>
        <w:color w:val="000000"/>
        <w:sz w:val="24"/>
      </w:rPr>
    </w:lvl>
  </w:abstractNum>
  <w:abstractNum w:abstractNumId="13"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4" w15:restartNumberingAfterBreak="0">
    <w:nsid w:val="75602673"/>
    <w:multiLevelType w:val="multilevel"/>
    <w:tmpl w:val="00000033"/>
    <w:lvl w:ilvl="0">
      <w:start w:val="1"/>
      <w:numFmt w:val="bullet"/>
      <w:lvlText w:val="■"/>
      <w:lvlJc w:val="left"/>
      <w:pPr>
        <w:tabs>
          <w:tab w:val="num" w:pos="108"/>
        </w:tabs>
        <w:ind w:left="828" w:hanging="360"/>
      </w:pPr>
      <w:rPr>
        <w:rFonts w:ascii="Century Gothic" w:hAnsi="Century Gothic"/>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11"/>
  </w:num>
  <w:num w:numId="2">
    <w:abstractNumId w:val="12"/>
  </w:num>
  <w:num w:numId="3">
    <w:abstractNumId w:val="0"/>
  </w:num>
  <w:num w:numId="4">
    <w:abstractNumId w:val="0"/>
  </w:num>
  <w:num w:numId="5">
    <w:abstractNumId w:val="13"/>
  </w:num>
  <w:num w:numId="6">
    <w:abstractNumId w:val="0"/>
  </w:num>
  <w:num w:numId="7">
    <w:abstractNumId w:val="0"/>
  </w:num>
  <w:num w:numId="8">
    <w:abstractNumId w:val="14"/>
  </w:num>
  <w:num w:numId="9">
    <w:abstractNumId w:val="13"/>
  </w:num>
  <w:num w:numId="10">
    <w:abstractNumId w:val="13"/>
  </w:num>
  <w:num w:numId="11">
    <w:abstractNumId w:val="13"/>
  </w:num>
  <w:num w:numId="12">
    <w:abstractNumId w:val="13"/>
  </w:num>
  <w:num w:numId="13">
    <w:abstractNumId w:val="0"/>
  </w:num>
  <w:num w:numId="14">
    <w:abstractNumId w:val="0"/>
  </w:num>
  <w:num w:numId="15">
    <w:abstractNumId w:val="0"/>
  </w:num>
  <w:num w:numId="16">
    <w:abstractNumId w:val="13"/>
  </w:num>
  <w:num w:numId="17">
    <w:abstractNumId w:val="13"/>
  </w:num>
  <w:num w:numId="18">
    <w:abstractNumId w:val="13"/>
  </w:num>
  <w:num w:numId="19">
    <w:abstractNumId w:val="13"/>
  </w:num>
  <w:num w:numId="20">
    <w:abstractNumId w:val="0"/>
  </w:num>
  <w:num w:numId="21">
    <w:abstractNumId w:val="0"/>
  </w:num>
  <w:num w:numId="22">
    <w:abstractNumId w:val="13"/>
  </w:num>
  <w:num w:numId="23">
    <w:abstractNumId w:val="1"/>
  </w:num>
  <w:num w:numId="24">
    <w:abstractNumId w:val="6"/>
  </w:num>
  <w:num w:numId="25">
    <w:abstractNumId w:val="13"/>
  </w:num>
  <w:num w:numId="26">
    <w:abstractNumId w:val="2"/>
  </w:num>
  <w:num w:numId="27">
    <w:abstractNumId w:val="13"/>
  </w:num>
  <w:num w:numId="28">
    <w:abstractNumId w:val="4"/>
  </w:num>
  <w:num w:numId="29">
    <w:abstractNumId w:val="0"/>
  </w:num>
  <w:num w:numId="30">
    <w:abstractNumId w:val="3"/>
  </w:num>
  <w:num w:numId="31">
    <w:abstractNumId w:val="7"/>
  </w:num>
  <w:num w:numId="32">
    <w:abstractNumId w:val="8"/>
  </w:num>
  <w:num w:numId="33">
    <w:abstractNumId w:val="10"/>
  </w:num>
  <w:num w:numId="34">
    <w:abstractNumId w:val="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B2"/>
    <w:rsid w:val="002B660C"/>
    <w:rsid w:val="003C41DB"/>
    <w:rsid w:val="004C6DAA"/>
    <w:rsid w:val="004E4D7A"/>
    <w:rsid w:val="00532DF5"/>
    <w:rsid w:val="0056386E"/>
    <w:rsid w:val="005D2B2D"/>
    <w:rsid w:val="005D3D1F"/>
    <w:rsid w:val="006722D3"/>
    <w:rsid w:val="007B0A00"/>
    <w:rsid w:val="008512F0"/>
    <w:rsid w:val="00890C84"/>
    <w:rsid w:val="008C0462"/>
    <w:rsid w:val="00936B8C"/>
    <w:rsid w:val="00A11DF1"/>
    <w:rsid w:val="00A347B2"/>
    <w:rsid w:val="00AF1195"/>
    <w:rsid w:val="00B355A7"/>
    <w:rsid w:val="00BF5152"/>
    <w:rsid w:val="00C16E7F"/>
    <w:rsid w:val="00D22E0A"/>
    <w:rsid w:val="00DE21D9"/>
    <w:rsid w:val="00DE6299"/>
    <w:rsid w:val="00E04730"/>
    <w:rsid w:val="00EB4A44"/>
    <w:rsid w:val="00FF3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FB45B"/>
  <w14:defaultImageDpi w14:val="0"/>
  <w15:docId w15:val="{9F4B92BE-FEDA-4304-BA53-E5FA0E471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512F0"/>
    <w:rPr>
      <w:color w:val="0563C1" w:themeColor="hyperlink"/>
      <w:u w:val="single"/>
    </w:rPr>
  </w:style>
  <w:style w:type="paragraph" w:styleId="Paragraphedeliste">
    <w:name w:val="List Paragraph"/>
    <w:basedOn w:val="Normal"/>
    <w:uiPriority w:val="34"/>
    <w:qFormat/>
    <w:rsid w:val="007B0A00"/>
    <w:pPr>
      <w:ind w:left="720"/>
      <w:contextualSpacing/>
    </w:pPr>
  </w:style>
  <w:style w:type="paragraph" w:styleId="En-tte">
    <w:name w:val="header"/>
    <w:basedOn w:val="Normal"/>
    <w:link w:val="En-tteCar"/>
    <w:uiPriority w:val="99"/>
    <w:unhideWhenUsed/>
    <w:rsid w:val="003C41DB"/>
    <w:pPr>
      <w:tabs>
        <w:tab w:val="center" w:pos="4536"/>
        <w:tab w:val="right" w:pos="9072"/>
      </w:tabs>
      <w:spacing w:after="0" w:line="240" w:lineRule="auto"/>
    </w:pPr>
  </w:style>
  <w:style w:type="character" w:customStyle="1" w:styleId="En-tteCar">
    <w:name w:val="En-tête Car"/>
    <w:basedOn w:val="Policepardfaut"/>
    <w:link w:val="En-tte"/>
    <w:uiPriority w:val="99"/>
    <w:rsid w:val="003C41DB"/>
  </w:style>
  <w:style w:type="paragraph" w:styleId="Pieddepage">
    <w:name w:val="footer"/>
    <w:basedOn w:val="Normal"/>
    <w:link w:val="PieddepageCar"/>
    <w:uiPriority w:val="99"/>
    <w:unhideWhenUsed/>
    <w:rsid w:val="003C41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4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ug.fort-de-france@justice.fr" TargetMode="External"/><Relationship Id="rId4" Type="http://schemas.openxmlformats.org/officeDocument/2006/relationships/webSettings" Target="webSettings.xml"/><Relationship Id="rId9" Type="http://schemas.openxmlformats.org/officeDocument/2006/relationships/hyperlink" Target="mailto:marchespublics@cgss-martiniqu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2873</Words>
  <Characters>16552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BOURGEOIS FREDERIQUE (CGSS MARTINIQUE)</dc:creator>
  <cp:keywords/>
  <dc:description>Generated by Oracle BI Publisher 10.1.3.4.2</dc:description>
  <cp:lastModifiedBy>JEAN JOSEPH NOEMIE (CGSS MARTINIQUE)</cp:lastModifiedBy>
  <cp:revision>7</cp:revision>
  <dcterms:created xsi:type="dcterms:W3CDTF">2025-05-19T17:51:00Z</dcterms:created>
  <dcterms:modified xsi:type="dcterms:W3CDTF">2025-06-18T14:11:00Z</dcterms:modified>
</cp:coreProperties>
</file>