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A2D" w:rsidRDefault="00E43A2D" w:rsidP="0047417F">
      <w:pPr>
        <w:jc w:val="both"/>
      </w:pPr>
      <w:r>
        <w:rPr>
          <w:noProof/>
          <w:lang w:eastAsia="fr-FR"/>
        </w:rPr>
        <w:drawing>
          <wp:inline distT="0" distB="0" distL="0" distR="0" wp14:anchorId="7AE94F1F" wp14:editId="638D5790">
            <wp:extent cx="2066925" cy="1295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1295400"/>
                    </a:xfrm>
                    <a:prstGeom prst="rect">
                      <a:avLst/>
                    </a:prstGeom>
                    <a:noFill/>
                  </pic:spPr>
                </pic:pic>
              </a:graphicData>
            </a:graphic>
          </wp:inline>
        </w:drawing>
      </w:r>
    </w:p>
    <w:tbl>
      <w:tblPr>
        <w:tblpPr w:leftFromText="141" w:rightFromText="141" w:vertAnchor="text" w:tblpXSpec="right" w:tblpY="1"/>
        <w:tblOverlap w:val="never"/>
        <w:tblW w:w="4640" w:type="dxa"/>
        <w:tblCellMar>
          <w:left w:w="0" w:type="dxa"/>
          <w:right w:w="0" w:type="dxa"/>
        </w:tblCellMar>
        <w:tblLook w:val="0000" w:firstRow="0" w:lastRow="0" w:firstColumn="0" w:lastColumn="0" w:noHBand="0" w:noVBand="0"/>
      </w:tblPr>
      <w:tblGrid>
        <w:gridCol w:w="4640"/>
      </w:tblGrid>
      <w:tr w:rsidR="00E43A2D" w:rsidRPr="00E021B3" w:rsidTr="00E43A2D">
        <w:trPr>
          <w:cantSplit/>
          <w:trHeight w:val="285"/>
        </w:trPr>
        <w:tc>
          <w:tcPr>
            <w:tcW w:w="4640" w:type="dxa"/>
            <w:tcBorders>
              <w:top w:val="nil"/>
              <w:left w:val="nil"/>
              <w:bottom w:val="nil"/>
              <w:right w:val="nil"/>
            </w:tcBorders>
          </w:tcPr>
          <w:p w:rsidR="00E43A2D" w:rsidRPr="00E021B3" w:rsidRDefault="00E43A2D" w:rsidP="0047417F">
            <w:pPr>
              <w:pStyle w:val="En-tte"/>
              <w:jc w:val="both"/>
              <w:rPr>
                <w:rFonts w:ascii="Calibri" w:hAnsi="Calibri" w:cs="Arial"/>
                <w:b/>
                <w:bCs/>
              </w:rPr>
            </w:pPr>
            <w:r w:rsidRPr="00E021B3">
              <w:rPr>
                <w:rFonts w:ascii="Calibri" w:hAnsi="Calibri" w:cs="Arial"/>
                <w:b/>
                <w:bCs/>
              </w:rPr>
              <w:t xml:space="preserve">Direction des Achats, de l’Hôtellerie, de </w:t>
            </w:r>
            <w:smartTag w:uri="urn:schemas-microsoft-com:office:smarttags" w:element="PersonName">
              <w:smartTagPr>
                <w:attr w:name="ProductID" w:val="la Logistique"/>
              </w:smartTagPr>
              <w:r w:rsidRPr="00E021B3">
                <w:rPr>
                  <w:rFonts w:ascii="Calibri" w:hAnsi="Calibri" w:cs="Arial"/>
                  <w:b/>
                  <w:bCs/>
                </w:rPr>
                <w:t>la Logistique</w:t>
              </w:r>
            </w:smartTag>
            <w:r w:rsidRPr="00E021B3">
              <w:rPr>
                <w:rFonts w:ascii="Calibri" w:hAnsi="Calibri" w:cs="Arial"/>
                <w:b/>
                <w:bCs/>
              </w:rPr>
              <w:t xml:space="preserve"> et de l’Ingénierie Biomédicale </w:t>
            </w:r>
            <w:r>
              <w:rPr>
                <w:rFonts w:ascii="Calibri" w:hAnsi="Calibri" w:cs="Arial"/>
                <w:b/>
                <w:bCs/>
              </w:rPr>
              <w:t>–</w:t>
            </w:r>
            <w:r w:rsidRPr="00E021B3">
              <w:rPr>
                <w:rFonts w:ascii="Calibri" w:hAnsi="Calibri" w:cs="Arial"/>
                <w:b/>
                <w:bCs/>
              </w:rPr>
              <w:t xml:space="preserve"> </w:t>
            </w:r>
            <w:r>
              <w:rPr>
                <w:rFonts w:ascii="Calibri" w:hAnsi="Calibri" w:cs="Arial"/>
                <w:b/>
                <w:bCs/>
              </w:rPr>
              <w:t>LABO</w:t>
            </w:r>
            <w:r w:rsidRPr="00E021B3">
              <w:rPr>
                <w:rFonts w:ascii="Calibri" w:hAnsi="Calibri" w:cs="Arial"/>
                <w:b/>
                <w:bCs/>
              </w:rPr>
              <w:t xml:space="preserve"> </w:t>
            </w:r>
          </w:p>
          <w:p w:rsidR="00E43A2D" w:rsidRPr="00E021B3" w:rsidRDefault="00E43A2D" w:rsidP="0047417F">
            <w:pPr>
              <w:pStyle w:val="En-tte"/>
              <w:jc w:val="both"/>
              <w:rPr>
                <w:rFonts w:ascii="Calibri" w:hAnsi="Calibri" w:cs="Arial"/>
                <w:b/>
                <w:bCs/>
              </w:rPr>
            </w:pPr>
          </w:p>
        </w:tc>
      </w:tr>
    </w:tbl>
    <w:p w:rsidR="00E43A2D" w:rsidRPr="00E021B3" w:rsidRDefault="00E43A2D" w:rsidP="0047417F">
      <w:pPr>
        <w:jc w:val="both"/>
        <w:rPr>
          <w:rFonts w:ascii="Calibri" w:hAnsi="Calibri" w:cs="Arial"/>
        </w:rPr>
      </w:pPr>
    </w:p>
    <w:p w:rsidR="00E43A2D" w:rsidRDefault="00E43A2D" w:rsidP="0047417F">
      <w:pPr>
        <w:jc w:val="both"/>
      </w:pPr>
    </w:p>
    <w:p w:rsidR="00E43A2D" w:rsidRDefault="00E43A2D" w:rsidP="0047417F">
      <w:pPr>
        <w:jc w:val="both"/>
      </w:pPr>
    </w:p>
    <w:p w:rsidR="002D5C04" w:rsidRDefault="00E43A2D" w:rsidP="0047417F">
      <w:pPr>
        <w:jc w:val="center"/>
        <w:rPr>
          <w:b/>
          <w:color w:val="0070C0"/>
          <w:sz w:val="28"/>
          <w:szCs w:val="28"/>
        </w:rPr>
      </w:pPr>
      <w:r w:rsidRPr="00E43A2D">
        <w:rPr>
          <w:b/>
          <w:color w:val="0070C0"/>
          <w:sz w:val="28"/>
          <w:szCs w:val="28"/>
        </w:rPr>
        <w:t>REGLEMENT DE CONSULTATION</w:t>
      </w:r>
      <w:r w:rsidR="002D5C04" w:rsidRPr="00E43A2D">
        <w:rPr>
          <w:b/>
          <w:color w:val="0070C0"/>
          <w:sz w:val="28"/>
          <w:szCs w:val="28"/>
        </w:rPr>
        <w:t xml:space="preserve"> (RC)</w:t>
      </w:r>
    </w:p>
    <w:p w:rsidR="00E43A2D" w:rsidRPr="00E43A2D" w:rsidRDefault="00E43A2D" w:rsidP="0047417F">
      <w:pPr>
        <w:jc w:val="center"/>
        <w:rPr>
          <w:b/>
          <w:color w:val="0070C0"/>
          <w:sz w:val="28"/>
          <w:szCs w:val="28"/>
        </w:rPr>
      </w:pPr>
    </w:p>
    <w:p w:rsidR="002D5C04" w:rsidRPr="00E43A2D" w:rsidRDefault="002D5C04" w:rsidP="0047417F">
      <w:pPr>
        <w:jc w:val="center"/>
        <w:rPr>
          <w:sz w:val="24"/>
          <w:szCs w:val="24"/>
        </w:rPr>
      </w:pPr>
      <w:r w:rsidRPr="00E43A2D">
        <w:rPr>
          <w:b/>
          <w:sz w:val="24"/>
          <w:szCs w:val="24"/>
        </w:rPr>
        <w:t xml:space="preserve">Type de </w:t>
      </w:r>
      <w:r w:rsidRPr="00E43A2D">
        <w:rPr>
          <w:sz w:val="24"/>
          <w:szCs w:val="24"/>
        </w:rPr>
        <w:t>procédure : Appel d’offres restreint (articles L.2124-2, R.2124-2 2°, R.2161-6 1°, R.2161-9 du Code de la commande publique)</w:t>
      </w:r>
    </w:p>
    <w:p w:rsidR="002D5C04" w:rsidRDefault="002D5C04" w:rsidP="0047417F">
      <w:pPr>
        <w:jc w:val="center"/>
        <w:rPr>
          <w:sz w:val="24"/>
          <w:szCs w:val="24"/>
        </w:rPr>
      </w:pPr>
      <w:r w:rsidRPr="00E43A2D">
        <w:rPr>
          <w:b/>
          <w:sz w:val="24"/>
          <w:szCs w:val="24"/>
        </w:rPr>
        <w:t>Technique d’achat :</w:t>
      </w:r>
      <w:r w:rsidRPr="00E43A2D">
        <w:rPr>
          <w:sz w:val="24"/>
          <w:szCs w:val="24"/>
        </w:rPr>
        <w:t xml:space="preserve"> Système d’acquisition dynamique (L2125-1 4°, R.2162-37 à R.2162-51 Code de la commande publique)</w:t>
      </w:r>
    </w:p>
    <w:p w:rsidR="00E43A2D" w:rsidRPr="00E43A2D" w:rsidRDefault="00E43A2D" w:rsidP="0047417F">
      <w:pPr>
        <w:jc w:val="center"/>
        <w:rPr>
          <w:sz w:val="24"/>
          <w:szCs w:val="24"/>
        </w:rPr>
      </w:pPr>
    </w:p>
    <w:p w:rsidR="002D5C04" w:rsidRDefault="002D5C04" w:rsidP="0047417F">
      <w:pPr>
        <w:jc w:val="center"/>
        <w:rPr>
          <w:b/>
          <w:sz w:val="28"/>
          <w:szCs w:val="28"/>
        </w:rPr>
      </w:pPr>
      <w:r w:rsidRPr="00E43A2D">
        <w:rPr>
          <w:b/>
          <w:sz w:val="28"/>
          <w:szCs w:val="28"/>
        </w:rPr>
        <w:t>MARCHE DE FOURNITURES</w:t>
      </w:r>
    </w:p>
    <w:p w:rsidR="00E43A2D" w:rsidRPr="00E43A2D" w:rsidRDefault="00E43A2D" w:rsidP="0047417F">
      <w:pPr>
        <w:jc w:val="center"/>
        <w:rPr>
          <w:b/>
          <w:sz w:val="28"/>
          <w:szCs w:val="28"/>
        </w:rPr>
      </w:pPr>
    </w:p>
    <w:p w:rsidR="002D5C04" w:rsidRDefault="002D5C04" w:rsidP="0047417F">
      <w:pPr>
        <w:pBdr>
          <w:top w:val="single" w:sz="4" w:space="1" w:color="auto"/>
          <w:left w:val="single" w:sz="4" w:space="4" w:color="auto"/>
          <w:bottom w:val="single" w:sz="4" w:space="1" w:color="auto"/>
          <w:right w:val="single" w:sz="4" w:space="4" w:color="auto"/>
        </w:pBdr>
        <w:jc w:val="center"/>
        <w:rPr>
          <w:sz w:val="32"/>
          <w:szCs w:val="32"/>
        </w:rPr>
      </w:pPr>
      <w:r w:rsidRPr="00CF4986">
        <w:rPr>
          <w:sz w:val="32"/>
          <w:szCs w:val="32"/>
        </w:rPr>
        <w:t>FOURNITURE</w:t>
      </w:r>
      <w:r w:rsidR="00CF4986" w:rsidRPr="00CF4986">
        <w:rPr>
          <w:sz w:val="32"/>
          <w:szCs w:val="32"/>
        </w:rPr>
        <w:t xml:space="preserve"> DE CONSOMMABLES DE LABORATOIRE</w:t>
      </w:r>
      <w:r w:rsidR="00997ED7">
        <w:rPr>
          <w:sz w:val="32"/>
          <w:szCs w:val="32"/>
        </w:rPr>
        <w:t xml:space="preserve"> DE BIOLOGIE MEDICALE</w:t>
      </w:r>
      <w:r w:rsidR="00E43A2D" w:rsidRPr="00CF4986">
        <w:rPr>
          <w:sz w:val="32"/>
          <w:szCs w:val="32"/>
        </w:rPr>
        <w:t xml:space="preserve"> </w:t>
      </w:r>
      <w:r w:rsidR="00E43A2D">
        <w:rPr>
          <w:sz w:val="32"/>
          <w:szCs w:val="32"/>
        </w:rPr>
        <w:t>(</w:t>
      </w:r>
      <w:r w:rsidR="00CF4986">
        <w:rPr>
          <w:sz w:val="32"/>
          <w:szCs w:val="32"/>
        </w:rPr>
        <w:t xml:space="preserve">3 </w:t>
      </w:r>
      <w:r w:rsidRPr="00E43A2D">
        <w:rPr>
          <w:sz w:val="32"/>
          <w:szCs w:val="32"/>
        </w:rPr>
        <w:t>CATEGORIES)</w:t>
      </w:r>
    </w:p>
    <w:p w:rsidR="00E43A2D" w:rsidRPr="00E43A2D" w:rsidRDefault="00E43A2D" w:rsidP="0047417F">
      <w:pPr>
        <w:jc w:val="center"/>
        <w:rPr>
          <w:sz w:val="32"/>
          <w:szCs w:val="32"/>
        </w:rPr>
      </w:pPr>
    </w:p>
    <w:p w:rsidR="00E43A2D" w:rsidRDefault="002D5C04" w:rsidP="0047417F">
      <w:pPr>
        <w:ind w:left="1416"/>
        <w:jc w:val="center"/>
      </w:pPr>
      <w:r>
        <w:t xml:space="preserve">Date estimative de remise des candidatures pour le premier marché spécifique : </w:t>
      </w:r>
      <w:r w:rsidR="00997ED7">
        <w:t>28 JANVIER 2022</w:t>
      </w:r>
    </w:p>
    <w:p w:rsidR="005047A9" w:rsidRDefault="002D5C04" w:rsidP="0047417F">
      <w:pPr>
        <w:jc w:val="center"/>
      </w:pPr>
      <w:r>
        <w:t xml:space="preserve">Date estimative du premier marché spécifique : </w:t>
      </w:r>
      <w:r w:rsidR="00A1107A">
        <w:t xml:space="preserve">28 JANVIER </w:t>
      </w:r>
      <w:r w:rsidR="00CF4986">
        <w:t>2022</w:t>
      </w:r>
    </w:p>
    <w:p w:rsidR="005047A9" w:rsidRDefault="002D5C04" w:rsidP="0047417F">
      <w:pPr>
        <w:jc w:val="center"/>
      </w:pPr>
      <w:r>
        <w:t>NB : Les candidatures peuvent être remises pendant toute la durée du Système d’acquisition dynamique.</w:t>
      </w:r>
      <w:r w:rsidR="005047A9">
        <w:t xml:space="preserve"> </w:t>
      </w:r>
      <w:r>
        <w:t>Seuls les candidats admis avant la date estimative du premier marché spécifique seront invités à ce marché spécifique</w:t>
      </w:r>
    </w:p>
    <w:p w:rsidR="005047A9" w:rsidRDefault="002D5C04" w:rsidP="0047417F">
      <w:pPr>
        <w:ind w:firstLine="708"/>
        <w:jc w:val="center"/>
      </w:pPr>
      <w:r>
        <w:t>Demandes de renseignements complémentaires : Au plus tard 10 jours avant la Date limite de remise d</w:t>
      </w:r>
      <w:r w:rsidR="005047A9">
        <w:t>es candidatures (cf. Article VI)</w:t>
      </w:r>
    </w:p>
    <w:p w:rsidR="005047A9" w:rsidRPr="005047A9" w:rsidRDefault="002D5C04" w:rsidP="0047417F">
      <w:pPr>
        <w:jc w:val="center"/>
        <w:rPr>
          <w:b/>
          <w:color w:val="FF0000"/>
          <w:sz w:val="28"/>
          <w:szCs w:val="28"/>
        </w:rPr>
      </w:pPr>
      <w:r w:rsidRPr="005047A9">
        <w:rPr>
          <w:b/>
          <w:color w:val="FF0000"/>
          <w:sz w:val="28"/>
          <w:szCs w:val="28"/>
        </w:rPr>
        <w:t>REPONSES DEMATERIALISE</w:t>
      </w:r>
      <w:r w:rsidR="00215E01">
        <w:rPr>
          <w:b/>
          <w:color w:val="FF0000"/>
          <w:sz w:val="28"/>
          <w:szCs w:val="28"/>
        </w:rPr>
        <w:t>E</w:t>
      </w:r>
      <w:r w:rsidRPr="005047A9">
        <w:rPr>
          <w:b/>
          <w:color w:val="FF0000"/>
          <w:sz w:val="28"/>
          <w:szCs w:val="28"/>
        </w:rPr>
        <w:t>S OBLIGATOIRES</w:t>
      </w:r>
    </w:p>
    <w:p w:rsidR="002D5C04" w:rsidRPr="005047A9" w:rsidRDefault="002D5C04" w:rsidP="0047417F">
      <w:pPr>
        <w:jc w:val="center"/>
        <w:rPr>
          <w:i/>
          <w:sz w:val="20"/>
          <w:szCs w:val="20"/>
        </w:rPr>
      </w:pPr>
      <w:r w:rsidRPr="005047A9">
        <w:rPr>
          <w:i/>
          <w:sz w:val="20"/>
          <w:szCs w:val="20"/>
        </w:rPr>
        <w:t>Aucune offre requise – Seules les candidatures sont requises</w:t>
      </w:r>
    </w:p>
    <w:p w:rsidR="00E43A2D" w:rsidRDefault="00E43A2D" w:rsidP="0047417F">
      <w:pPr>
        <w:jc w:val="both"/>
      </w:pPr>
    </w:p>
    <w:p w:rsidR="00E43A2D" w:rsidRDefault="00E43A2D" w:rsidP="0047417F">
      <w:pPr>
        <w:jc w:val="both"/>
      </w:pPr>
    </w:p>
    <w:p w:rsidR="005047A9" w:rsidRDefault="005047A9" w:rsidP="0047417F">
      <w:pPr>
        <w:jc w:val="both"/>
      </w:pPr>
    </w:p>
    <w:sdt>
      <w:sdtPr>
        <w:rPr>
          <w:rFonts w:asciiTheme="minorHAnsi" w:eastAsiaTheme="minorHAnsi" w:hAnsiTheme="minorHAnsi" w:cstheme="minorBidi"/>
          <w:color w:val="auto"/>
          <w:sz w:val="22"/>
          <w:szCs w:val="22"/>
          <w:lang w:eastAsia="en-US"/>
        </w:rPr>
        <w:id w:val="-1840221784"/>
        <w:docPartObj>
          <w:docPartGallery w:val="Table of Contents"/>
          <w:docPartUnique/>
        </w:docPartObj>
      </w:sdtPr>
      <w:sdtEndPr>
        <w:rPr>
          <w:b/>
          <w:bCs/>
        </w:rPr>
      </w:sdtEndPr>
      <w:sdtContent>
        <w:p w:rsidR="006B6518" w:rsidRPr="006B6518" w:rsidRDefault="006B6518" w:rsidP="006B6518">
          <w:pPr>
            <w:pStyle w:val="En-ttedetabledesmatires"/>
            <w:jc w:val="center"/>
            <w:rPr>
              <w:color w:val="auto"/>
            </w:rPr>
          </w:pPr>
          <w:r w:rsidRPr="006B6518">
            <w:rPr>
              <w:color w:val="auto"/>
            </w:rPr>
            <w:t>Sommaire</w:t>
          </w:r>
        </w:p>
        <w:p w:rsidR="006B6518" w:rsidRDefault="006B6518">
          <w:pPr>
            <w:pStyle w:val="TM1"/>
            <w:tabs>
              <w:tab w:val="right" w:leader="dot" w:pos="9062"/>
            </w:tabs>
            <w:rPr>
              <w:rFonts w:cstheme="minorBidi"/>
              <w:noProof/>
            </w:rPr>
          </w:pPr>
          <w:r>
            <w:rPr>
              <w:b/>
              <w:bCs/>
            </w:rPr>
            <w:fldChar w:fldCharType="begin"/>
          </w:r>
          <w:r>
            <w:rPr>
              <w:b/>
              <w:bCs/>
            </w:rPr>
            <w:instrText xml:space="preserve"> TOC \o "1-3" \h \z \u </w:instrText>
          </w:r>
          <w:r>
            <w:rPr>
              <w:b/>
              <w:bCs/>
            </w:rPr>
            <w:fldChar w:fldCharType="separate"/>
          </w:r>
          <w:hyperlink w:anchor="_Toc90540066" w:history="1">
            <w:r w:rsidRPr="002F1CF9">
              <w:rPr>
                <w:rStyle w:val="Lienhypertexte"/>
                <w:noProof/>
              </w:rPr>
              <w:t>ARTICLE I – POUVOIR ADJUDICATEUR</w:t>
            </w:r>
            <w:r>
              <w:rPr>
                <w:noProof/>
                <w:webHidden/>
              </w:rPr>
              <w:tab/>
            </w:r>
            <w:r>
              <w:rPr>
                <w:noProof/>
                <w:webHidden/>
              </w:rPr>
              <w:fldChar w:fldCharType="begin"/>
            </w:r>
            <w:r>
              <w:rPr>
                <w:noProof/>
                <w:webHidden/>
              </w:rPr>
              <w:instrText xml:space="preserve"> PAGEREF _Toc90540066 \h </w:instrText>
            </w:r>
            <w:r>
              <w:rPr>
                <w:noProof/>
                <w:webHidden/>
              </w:rPr>
            </w:r>
            <w:r>
              <w:rPr>
                <w:noProof/>
                <w:webHidden/>
              </w:rPr>
              <w:fldChar w:fldCharType="separate"/>
            </w:r>
            <w:r>
              <w:rPr>
                <w:noProof/>
                <w:webHidden/>
              </w:rPr>
              <w:t>3</w:t>
            </w:r>
            <w:r>
              <w:rPr>
                <w:noProof/>
                <w:webHidden/>
              </w:rPr>
              <w:fldChar w:fldCharType="end"/>
            </w:r>
          </w:hyperlink>
        </w:p>
        <w:p w:rsidR="006B6518" w:rsidRDefault="00215E01">
          <w:pPr>
            <w:pStyle w:val="TM1"/>
            <w:tabs>
              <w:tab w:val="right" w:leader="dot" w:pos="9062"/>
            </w:tabs>
            <w:rPr>
              <w:rFonts w:cstheme="minorBidi"/>
              <w:noProof/>
            </w:rPr>
          </w:pPr>
          <w:hyperlink w:anchor="_Toc90540067" w:history="1">
            <w:r w:rsidR="006B6518" w:rsidRPr="002F1CF9">
              <w:rPr>
                <w:rStyle w:val="Lienhypertexte"/>
                <w:noProof/>
              </w:rPr>
              <w:t>ARTICLE II - OBJET DE LA CONSULTATION</w:t>
            </w:r>
            <w:r w:rsidR="006B6518">
              <w:rPr>
                <w:noProof/>
                <w:webHidden/>
              </w:rPr>
              <w:tab/>
            </w:r>
            <w:r w:rsidR="006B6518">
              <w:rPr>
                <w:noProof/>
                <w:webHidden/>
              </w:rPr>
              <w:fldChar w:fldCharType="begin"/>
            </w:r>
            <w:r w:rsidR="006B6518">
              <w:rPr>
                <w:noProof/>
                <w:webHidden/>
              </w:rPr>
              <w:instrText xml:space="preserve"> PAGEREF _Toc90540067 \h </w:instrText>
            </w:r>
            <w:r w:rsidR="006B6518">
              <w:rPr>
                <w:noProof/>
                <w:webHidden/>
              </w:rPr>
            </w:r>
            <w:r w:rsidR="006B6518">
              <w:rPr>
                <w:noProof/>
                <w:webHidden/>
              </w:rPr>
              <w:fldChar w:fldCharType="separate"/>
            </w:r>
            <w:r w:rsidR="006B6518">
              <w:rPr>
                <w:noProof/>
                <w:webHidden/>
              </w:rPr>
              <w:t>3</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68" w:history="1">
            <w:r w:rsidR="006B6518" w:rsidRPr="002F1CF9">
              <w:rPr>
                <w:rStyle w:val="Lienhypertexte"/>
                <w:noProof/>
              </w:rPr>
              <w:t>II.1 Intitulé</w:t>
            </w:r>
            <w:r w:rsidR="006B6518">
              <w:rPr>
                <w:noProof/>
                <w:webHidden/>
              </w:rPr>
              <w:tab/>
            </w:r>
            <w:r w:rsidR="006B6518">
              <w:rPr>
                <w:noProof/>
                <w:webHidden/>
              </w:rPr>
              <w:fldChar w:fldCharType="begin"/>
            </w:r>
            <w:r w:rsidR="006B6518">
              <w:rPr>
                <w:noProof/>
                <w:webHidden/>
              </w:rPr>
              <w:instrText xml:space="preserve"> PAGEREF _Toc90540068 \h </w:instrText>
            </w:r>
            <w:r w:rsidR="006B6518">
              <w:rPr>
                <w:noProof/>
                <w:webHidden/>
              </w:rPr>
            </w:r>
            <w:r w:rsidR="006B6518">
              <w:rPr>
                <w:noProof/>
                <w:webHidden/>
              </w:rPr>
              <w:fldChar w:fldCharType="separate"/>
            </w:r>
            <w:r w:rsidR="006B6518">
              <w:rPr>
                <w:noProof/>
                <w:webHidden/>
              </w:rPr>
              <w:t>3</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69" w:history="1">
            <w:r w:rsidR="006B6518" w:rsidRPr="002F1CF9">
              <w:rPr>
                <w:rStyle w:val="Lienhypertexte"/>
                <w:noProof/>
              </w:rPr>
              <w:t>II.2 Description du marché</w:t>
            </w:r>
            <w:r w:rsidR="006B6518">
              <w:rPr>
                <w:noProof/>
                <w:webHidden/>
              </w:rPr>
              <w:tab/>
            </w:r>
            <w:r w:rsidR="006B6518">
              <w:rPr>
                <w:noProof/>
                <w:webHidden/>
              </w:rPr>
              <w:fldChar w:fldCharType="begin"/>
            </w:r>
            <w:r w:rsidR="006B6518">
              <w:rPr>
                <w:noProof/>
                <w:webHidden/>
              </w:rPr>
              <w:instrText xml:space="preserve"> PAGEREF _Toc90540069 \h </w:instrText>
            </w:r>
            <w:r w:rsidR="006B6518">
              <w:rPr>
                <w:noProof/>
                <w:webHidden/>
              </w:rPr>
            </w:r>
            <w:r w:rsidR="006B6518">
              <w:rPr>
                <w:noProof/>
                <w:webHidden/>
              </w:rPr>
              <w:fldChar w:fldCharType="separate"/>
            </w:r>
            <w:r w:rsidR="006B6518">
              <w:rPr>
                <w:noProof/>
                <w:webHidden/>
              </w:rPr>
              <w:t>4</w:t>
            </w:r>
            <w:r w:rsidR="006B6518">
              <w:rPr>
                <w:noProof/>
                <w:webHidden/>
              </w:rPr>
              <w:fldChar w:fldCharType="end"/>
            </w:r>
          </w:hyperlink>
        </w:p>
        <w:p w:rsidR="006B6518" w:rsidRDefault="00215E01">
          <w:pPr>
            <w:pStyle w:val="TM3"/>
            <w:tabs>
              <w:tab w:val="right" w:leader="dot" w:pos="9062"/>
            </w:tabs>
            <w:rPr>
              <w:rFonts w:cstheme="minorBidi"/>
              <w:noProof/>
            </w:rPr>
          </w:pPr>
          <w:hyperlink w:anchor="_Toc90540070" w:history="1">
            <w:r w:rsidR="006B6518" w:rsidRPr="002F1CF9">
              <w:rPr>
                <w:rStyle w:val="Lienhypertexte"/>
                <w:noProof/>
              </w:rPr>
              <w:t>II.2.1 Technique d’achat</w:t>
            </w:r>
            <w:r w:rsidR="006B6518">
              <w:rPr>
                <w:noProof/>
                <w:webHidden/>
              </w:rPr>
              <w:tab/>
            </w:r>
            <w:r w:rsidR="006B6518">
              <w:rPr>
                <w:noProof/>
                <w:webHidden/>
              </w:rPr>
              <w:fldChar w:fldCharType="begin"/>
            </w:r>
            <w:r w:rsidR="006B6518">
              <w:rPr>
                <w:noProof/>
                <w:webHidden/>
              </w:rPr>
              <w:instrText xml:space="preserve"> PAGEREF _Toc90540070 \h </w:instrText>
            </w:r>
            <w:r w:rsidR="006B6518">
              <w:rPr>
                <w:noProof/>
                <w:webHidden/>
              </w:rPr>
            </w:r>
            <w:r w:rsidR="006B6518">
              <w:rPr>
                <w:noProof/>
                <w:webHidden/>
              </w:rPr>
              <w:fldChar w:fldCharType="separate"/>
            </w:r>
            <w:r w:rsidR="006B6518">
              <w:rPr>
                <w:noProof/>
                <w:webHidden/>
              </w:rPr>
              <w:t>4</w:t>
            </w:r>
            <w:r w:rsidR="006B6518">
              <w:rPr>
                <w:noProof/>
                <w:webHidden/>
              </w:rPr>
              <w:fldChar w:fldCharType="end"/>
            </w:r>
          </w:hyperlink>
        </w:p>
        <w:p w:rsidR="006B6518" w:rsidRDefault="00215E01">
          <w:pPr>
            <w:pStyle w:val="TM3"/>
            <w:tabs>
              <w:tab w:val="right" w:leader="dot" w:pos="9062"/>
            </w:tabs>
            <w:rPr>
              <w:rFonts w:cstheme="minorBidi"/>
              <w:noProof/>
            </w:rPr>
          </w:pPr>
          <w:hyperlink w:anchor="_Toc90540071" w:history="1">
            <w:r w:rsidR="006B6518" w:rsidRPr="002F1CF9">
              <w:rPr>
                <w:rStyle w:val="Lienhypertexte"/>
                <w:noProof/>
              </w:rPr>
              <w:t>II.2.2 Forme des marchés spécifiques</w:t>
            </w:r>
            <w:r w:rsidR="006B6518">
              <w:rPr>
                <w:noProof/>
                <w:webHidden/>
              </w:rPr>
              <w:tab/>
            </w:r>
            <w:r w:rsidR="006B6518">
              <w:rPr>
                <w:noProof/>
                <w:webHidden/>
              </w:rPr>
              <w:fldChar w:fldCharType="begin"/>
            </w:r>
            <w:r w:rsidR="006B6518">
              <w:rPr>
                <w:noProof/>
                <w:webHidden/>
              </w:rPr>
              <w:instrText xml:space="preserve"> PAGEREF _Toc90540071 \h </w:instrText>
            </w:r>
            <w:r w:rsidR="006B6518">
              <w:rPr>
                <w:noProof/>
                <w:webHidden/>
              </w:rPr>
            </w:r>
            <w:r w:rsidR="006B6518">
              <w:rPr>
                <w:noProof/>
                <w:webHidden/>
              </w:rPr>
              <w:fldChar w:fldCharType="separate"/>
            </w:r>
            <w:r w:rsidR="006B6518">
              <w:rPr>
                <w:noProof/>
                <w:webHidden/>
              </w:rPr>
              <w:t>4</w:t>
            </w:r>
            <w:r w:rsidR="006B6518">
              <w:rPr>
                <w:noProof/>
                <w:webHidden/>
              </w:rPr>
              <w:fldChar w:fldCharType="end"/>
            </w:r>
          </w:hyperlink>
        </w:p>
        <w:p w:rsidR="006B6518" w:rsidRDefault="00215E01">
          <w:pPr>
            <w:pStyle w:val="TM3"/>
            <w:tabs>
              <w:tab w:val="right" w:leader="dot" w:pos="9062"/>
            </w:tabs>
            <w:rPr>
              <w:rFonts w:cstheme="minorBidi"/>
              <w:noProof/>
            </w:rPr>
          </w:pPr>
          <w:hyperlink w:anchor="_Toc90540072" w:history="1">
            <w:r w:rsidR="006B6518" w:rsidRPr="002F1CF9">
              <w:rPr>
                <w:rStyle w:val="Lienhypertexte"/>
                <w:noProof/>
              </w:rPr>
              <w:t>II.2.3 Classification CPV</w:t>
            </w:r>
            <w:r w:rsidR="006B6518">
              <w:rPr>
                <w:noProof/>
                <w:webHidden/>
              </w:rPr>
              <w:tab/>
            </w:r>
            <w:r w:rsidR="006B6518">
              <w:rPr>
                <w:noProof/>
                <w:webHidden/>
              </w:rPr>
              <w:fldChar w:fldCharType="begin"/>
            </w:r>
            <w:r w:rsidR="006B6518">
              <w:rPr>
                <w:noProof/>
                <w:webHidden/>
              </w:rPr>
              <w:instrText xml:space="preserve"> PAGEREF _Toc90540072 \h </w:instrText>
            </w:r>
            <w:r w:rsidR="006B6518">
              <w:rPr>
                <w:noProof/>
                <w:webHidden/>
              </w:rPr>
            </w:r>
            <w:r w:rsidR="006B6518">
              <w:rPr>
                <w:noProof/>
                <w:webHidden/>
              </w:rPr>
              <w:fldChar w:fldCharType="separate"/>
            </w:r>
            <w:r w:rsidR="006B6518">
              <w:rPr>
                <w:noProof/>
                <w:webHidden/>
              </w:rPr>
              <w:t>5</w:t>
            </w:r>
            <w:r w:rsidR="006B6518">
              <w:rPr>
                <w:noProof/>
                <w:webHidden/>
              </w:rPr>
              <w:fldChar w:fldCharType="end"/>
            </w:r>
          </w:hyperlink>
        </w:p>
        <w:p w:rsidR="006B6518" w:rsidRDefault="00215E01">
          <w:pPr>
            <w:pStyle w:val="TM3"/>
            <w:tabs>
              <w:tab w:val="right" w:leader="dot" w:pos="9062"/>
            </w:tabs>
            <w:rPr>
              <w:rFonts w:cstheme="minorBidi"/>
              <w:noProof/>
            </w:rPr>
          </w:pPr>
          <w:hyperlink w:anchor="_Toc90540073" w:history="1">
            <w:r w:rsidR="006B6518" w:rsidRPr="002F1CF9">
              <w:rPr>
                <w:rStyle w:val="Lienhypertexte"/>
                <w:noProof/>
              </w:rPr>
              <w:t>II.2.4 Division en catégories</w:t>
            </w:r>
            <w:r w:rsidR="006B6518">
              <w:rPr>
                <w:noProof/>
                <w:webHidden/>
              </w:rPr>
              <w:tab/>
            </w:r>
            <w:r w:rsidR="006B6518">
              <w:rPr>
                <w:noProof/>
                <w:webHidden/>
              </w:rPr>
              <w:fldChar w:fldCharType="begin"/>
            </w:r>
            <w:r w:rsidR="006B6518">
              <w:rPr>
                <w:noProof/>
                <w:webHidden/>
              </w:rPr>
              <w:instrText xml:space="preserve"> PAGEREF _Toc90540073 \h </w:instrText>
            </w:r>
            <w:r w:rsidR="006B6518">
              <w:rPr>
                <w:noProof/>
                <w:webHidden/>
              </w:rPr>
            </w:r>
            <w:r w:rsidR="006B6518">
              <w:rPr>
                <w:noProof/>
                <w:webHidden/>
              </w:rPr>
              <w:fldChar w:fldCharType="separate"/>
            </w:r>
            <w:r w:rsidR="006B6518">
              <w:rPr>
                <w:noProof/>
                <w:webHidden/>
              </w:rPr>
              <w:t>5</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74" w:history="1">
            <w:r w:rsidR="006B6518" w:rsidRPr="002F1CF9">
              <w:rPr>
                <w:rStyle w:val="Lienhypertexte"/>
                <w:noProof/>
              </w:rPr>
              <w:t>II.3 Durée du SAD</w:t>
            </w:r>
            <w:r w:rsidR="006B6518">
              <w:rPr>
                <w:noProof/>
                <w:webHidden/>
              </w:rPr>
              <w:tab/>
            </w:r>
            <w:r w:rsidR="006B6518">
              <w:rPr>
                <w:noProof/>
                <w:webHidden/>
              </w:rPr>
              <w:fldChar w:fldCharType="begin"/>
            </w:r>
            <w:r w:rsidR="006B6518">
              <w:rPr>
                <w:noProof/>
                <w:webHidden/>
              </w:rPr>
              <w:instrText xml:space="preserve"> PAGEREF _Toc90540074 \h </w:instrText>
            </w:r>
            <w:r w:rsidR="006B6518">
              <w:rPr>
                <w:noProof/>
                <w:webHidden/>
              </w:rPr>
            </w:r>
            <w:r w:rsidR="006B6518">
              <w:rPr>
                <w:noProof/>
                <w:webHidden/>
              </w:rPr>
              <w:fldChar w:fldCharType="separate"/>
            </w:r>
            <w:r w:rsidR="006B6518">
              <w:rPr>
                <w:noProof/>
                <w:webHidden/>
              </w:rPr>
              <w:t>5</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75" w:history="1">
            <w:r w:rsidR="006B6518" w:rsidRPr="002F1CF9">
              <w:rPr>
                <w:rStyle w:val="Lienhypertexte"/>
                <w:noProof/>
              </w:rPr>
              <w:t>II.4 Lieu d’exécution ou lieu de livraison</w:t>
            </w:r>
            <w:r w:rsidR="006B6518">
              <w:rPr>
                <w:noProof/>
                <w:webHidden/>
              </w:rPr>
              <w:tab/>
            </w:r>
            <w:r w:rsidR="006B6518">
              <w:rPr>
                <w:noProof/>
                <w:webHidden/>
              </w:rPr>
              <w:fldChar w:fldCharType="begin"/>
            </w:r>
            <w:r w:rsidR="006B6518">
              <w:rPr>
                <w:noProof/>
                <w:webHidden/>
              </w:rPr>
              <w:instrText xml:space="preserve"> PAGEREF _Toc90540075 \h </w:instrText>
            </w:r>
            <w:r w:rsidR="006B6518">
              <w:rPr>
                <w:noProof/>
                <w:webHidden/>
              </w:rPr>
            </w:r>
            <w:r w:rsidR="006B6518">
              <w:rPr>
                <w:noProof/>
                <w:webHidden/>
              </w:rPr>
              <w:fldChar w:fldCharType="separate"/>
            </w:r>
            <w:r w:rsidR="006B6518">
              <w:rPr>
                <w:noProof/>
                <w:webHidden/>
              </w:rPr>
              <w:t>5</w:t>
            </w:r>
            <w:r w:rsidR="006B6518">
              <w:rPr>
                <w:noProof/>
                <w:webHidden/>
              </w:rPr>
              <w:fldChar w:fldCharType="end"/>
            </w:r>
          </w:hyperlink>
        </w:p>
        <w:p w:rsidR="006B6518" w:rsidRDefault="00215E01">
          <w:pPr>
            <w:pStyle w:val="TM1"/>
            <w:tabs>
              <w:tab w:val="right" w:leader="dot" w:pos="9062"/>
            </w:tabs>
            <w:rPr>
              <w:rFonts w:cstheme="minorBidi"/>
              <w:noProof/>
            </w:rPr>
          </w:pPr>
          <w:hyperlink w:anchor="_Toc90540076" w:history="1">
            <w:r w:rsidR="006B6518" w:rsidRPr="002F1CF9">
              <w:rPr>
                <w:rStyle w:val="Lienhypertexte"/>
                <w:noProof/>
              </w:rPr>
              <w:t>ARTICLE III – MODALITES DE LA CONSULTATION</w:t>
            </w:r>
            <w:r w:rsidR="006B6518">
              <w:rPr>
                <w:noProof/>
                <w:webHidden/>
              </w:rPr>
              <w:tab/>
            </w:r>
            <w:r w:rsidR="006B6518">
              <w:rPr>
                <w:noProof/>
                <w:webHidden/>
              </w:rPr>
              <w:fldChar w:fldCharType="begin"/>
            </w:r>
            <w:r w:rsidR="006B6518">
              <w:rPr>
                <w:noProof/>
                <w:webHidden/>
              </w:rPr>
              <w:instrText xml:space="preserve"> PAGEREF _Toc90540076 \h </w:instrText>
            </w:r>
            <w:r w:rsidR="006B6518">
              <w:rPr>
                <w:noProof/>
                <w:webHidden/>
              </w:rPr>
            </w:r>
            <w:r w:rsidR="006B6518">
              <w:rPr>
                <w:noProof/>
                <w:webHidden/>
              </w:rPr>
              <w:fldChar w:fldCharType="separate"/>
            </w:r>
            <w:r w:rsidR="006B6518">
              <w:rPr>
                <w:noProof/>
                <w:webHidden/>
              </w:rPr>
              <w:t>6</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77" w:history="1">
            <w:r w:rsidR="006B6518" w:rsidRPr="002F1CF9">
              <w:rPr>
                <w:rStyle w:val="Lienhypertexte"/>
                <w:noProof/>
              </w:rPr>
              <w:t>III.1 Contenu du dossier de consultation</w:t>
            </w:r>
            <w:r w:rsidR="006B6518">
              <w:rPr>
                <w:noProof/>
                <w:webHidden/>
              </w:rPr>
              <w:tab/>
            </w:r>
            <w:r w:rsidR="006B6518">
              <w:rPr>
                <w:noProof/>
                <w:webHidden/>
              </w:rPr>
              <w:fldChar w:fldCharType="begin"/>
            </w:r>
            <w:r w:rsidR="006B6518">
              <w:rPr>
                <w:noProof/>
                <w:webHidden/>
              </w:rPr>
              <w:instrText xml:space="preserve"> PAGEREF _Toc90540077 \h </w:instrText>
            </w:r>
            <w:r w:rsidR="006B6518">
              <w:rPr>
                <w:noProof/>
                <w:webHidden/>
              </w:rPr>
            </w:r>
            <w:r w:rsidR="006B6518">
              <w:rPr>
                <w:noProof/>
                <w:webHidden/>
              </w:rPr>
              <w:fldChar w:fldCharType="separate"/>
            </w:r>
            <w:r w:rsidR="006B6518">
              <w:rPr>
                <w:noProof/>
                <w:webHidden/>
              </w:rPr>
              <w:t>6</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78" w:history="1">
            <w:r w:rsidR="006B6518" w:rsidRPr="002F1CF9">
              <w:rPr>
                <w:rStyle w:val="Lienhypertexte"/>
                <w:noProof/>
              </w:rPr>
              <w:t>III.2 Mise à disposition des documents de la consultation, communications et échanges d’informations par voie électronique</w:t>
            </w:r>
            <w:r w:rsidR="006B6518">
              <w:rPr>
                <w:noProof/>
                <w:webHidden/>
              </w:rPr>
              <w:tab/>
            </w:r>
            <w:r w:rsidR="006B6518">
              <w:rPr>
                <w:noProof/>
                <w:webHidden/>
              </w:rPr>
              <w:fldChar w:fldCharType="begin"/>
            </w:r>
            <w:r w:rsidR="006B6518">
              <w:rPr>
                <w:noProof/>
                <w:webHidden/>
              </w:rPr>
              <w:instrText xml:space="preserve"> PAGEREF _Toc90540078 \h </w:instrText>
            </w:r>
            <w:r w:rsidR="006B6518">
              <w:rPr>
                <w:noProof/>
                <w:webHidden/>
              </w:rPr>
            </w:r>
            <w:r w:rsidR="006B6518">
              <w:rPr>
                <w:noProof/>
                <w:webHidden/>
              </w:rPr>
              <w:fldChar w:fldCharType="separate"/>
            </w:r>
            <w:r w:rsidR="006B6518">
              <w:rPr>
                <w:noProof/>
                <w:webHidden/>
              </w:rPr>
              <w:t>6</w:t>
            </w:r>
            <w:r w:rsidR="006B6518">
              <w:rPr>
                <w:noProof/>
                <w:webHidden/>
              </w:rPr>
              <w:fldChar w:fldCharType="end"/>
            </w:r>
          </w:hyperlink>
        </w:p>
        <w:p w:rsidR="006B6518" w:rsidRDefault="00215E01">
          <w:pPr>
            <w:pStyle w:val="TM1"/>
            <w:tabs>
              <w:tab w:val="right" w:leader="dot" w:pos="9062"/>
            </w:tabs>
            <w:rPr>
              <w:rFonts w:cstheme="minorBidi"/>
              <w:noProof/>
            </w:rPr>
          </w:pPr>
          <w:hyperlink w:anchor="_Toc90540079" w:history="1">
            <w:r w:rsidR="006B6518" w:rsidRPr="002F1CF9">
              <w:rPr>
                <w:rStyle w:val="Lienhypertexte"/>
                <w:noProof/>
              </w:rPr>
              <w:t>ARTICLE IV - CONDITIONS DE REMISE DES CANDIDATURES</w:t>
            </w:r>
            <w:r w:rsidR="006B6518">
              <w:rPr>
                <w:noProof/>
                <w:webHidden/>
              </w:rPr>
              <w:tab/>
            </w:r>
            <w:r w:rsidR="006B6518">
              <w:rPr>
                <w:noProof/>
                <w:webHidden/>
              </w:rPr>
              <w:fldChar w:fldCharType="begin"/>
            </w:r>
            <w:r w:rsidR="006B6518">
              <w:rPr>
                <w:noProof/>
                <w:webHidden/>
              </w:rPr>
              <w:instrText xml:space="preserve"> PAGEREF _Toc90540079 \h </w:instrText>
            </w:r>
            <w:r w:rsidR="006B6518">
              <w:rPr>
                <w:noProof/>
                <w:webHidden/>
              </w:rPr>
            </w:r>
            <w:r w:rsidR="006B6518">
              <w:rPr>
                <w:noProof/>
                <w:webHidden/>
              </w:rPr>
              <w:fldChar w:fldCharType="separate"/>
            </w:r>
            <w:r w:rsidR="006B6518">
              <w:rPr>
                <w:noProof/>
                <w:webHidden/>
              </w:rPr>
              <w:t>6</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0" w:history="1">
            <w:r w:rsidR="006B6518" w:rsidRPr="002F1CF9">
              <w:rPr>
                <w:rStyle w:val="Lienhypertexte"/>
                <w:noProof/>
              </w:rPr>
              <w:t>IV.1 Date et heure limites de réception des plis</w:t>
            </w:r>
            <w:r w:rsidR="006B6518">
              <w:rPr>
                <w:noProof/>
                <w:webHidden/>
              </w:rPr>
              <w:tab/>
            </w:r>
            <w:r w:rsidR="006B6518">
              <w:rPr>
                <w:noProof/>
                <w:webHidden/>
              </w:rPr>
              <w:fldChar w:fldCharType="begin"/>
            </w:r>
            <w:r w:rsidR="006B6518">
              <w:rPr>
                <w:noProof/>
                <w:webHidden/>
              </w:rPr>
              <w:instrText xml:space="preserve"> PAGEREF _Toc90540080 \h </w:instrText>
            </w:r>
            <w:r w:rsidR="006B6518">
              <w:rPr>
                <w:noProof/>
                <w:webHidden/>
              </w:rPr>
            </w:r>
            <w:r w:rsidR="006B6518">
              <w:rPr>
                <w:noProof/>
                <w:webHidden/>
              </w:rPr>
              <w:fldChar w:fldCharType="separate"/>
            </w:r>
            <w:r w:rsidR="006B6518">
              <w:rPr>
                <w:noProof/>
                <w:webHidden/>
              </w:rPr>
              <w:t>6</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1" w:history="1">
            <w:r w:rsidR="006B6518" w:rsidRPr="002F1CF9">
              <w:rPr>
                <w:rStyle w:val="Lienhypertexte"/>
                <w:noProof/>
              </w:rPr>
              <w:t>IV. 2 Contenu de la candidature</w:t>
            </w:r>
            <w:r w:rsidR="006B6518">
              <w:rPr>
                <w:noProof/>
                <w:webHidden/>
              </w:rPr>
              <w:tab/>
            </w:r>
            <w:r w:rsidR="006B6518">
              <w:rPr>
                <w:noProof/>
                <w:webHidden/>
              </w:rPr>
              <w:fldChar w:fldCharType="begin"/>
            </w:r>
            <w:r w:rsidR="006B6518">
              <w:rPr>
                <w:noProof/>
                <w:webHidden/>
              </w:rPr>
              <w:instrText xml:space="preserve"> PAGEREF _Toc90540081 \h </w:instrText>
            </w:r>
            <w:r w:rsidR="006B6518">
              <w:rPr>
                <w:noProof/>
                <w:webHidden/>
              </w:rPr>
            </w:r>
            <w:r w:rsidR="006B6518">
              <w:rPr>
                <w:noProof/>
                <w:webHidden/>
              </w:rPr>
              <w:fldChar w:fldCharType="separate"/>
            </w:r>
            <w:r w:rsidR="006B6518">
              <w:rPr>
                <w:noProof/>
                <w:webHidden/>
              </w:rPr>
              <w:t>7</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2" w:history="1">
            <w:r w:rsidR="006B6518" w:rsidRPr="002F1CF9">
              <w:rPr>
                <w:rStyle w:val="Lienhypertexte"/>
                <w:noProof/>
              </w:rPr>
              <w:t>IV.3 Forme juridique du candidat</w:t>
            </w:r>
            <w:r w:rsidR="006B6518">
              <w:rPr>
                <w:noProof/>
                <w:webHidden/>
              </w:rPr>
              <w:tab/>
            </w:r>
            <w:r w:rsidR="006B6518">
              <w:rPr>
                <w:noProof/>
                <w:webHidden/>
              </w:rPr>
              <w:fldChar w:fldCharType="begin"/>
            </w:r>
            <w:r w:rsidR="006B6518">
              <w:rPr>
                <w:noProof/>
                <w:webHidden/>
              </w:rPr>
              <w:instrText xml:space="preserve"> PAGEREF _Toc90540082 \h </w:instrText>
            </w:r>
            <w:r w:rsidR="006B6518">
              <w:rPr>
                <w:noProof/>
                <w:webHidden/>
              </w:rPr>
            </w:r>
            <w:r w:rsidR="006B6518">
              <w:rPr>
                <w:noProof/>
                <w:webHidden/>
              </w:rPr>
              <w:fldChar w:fldCharType="separate"/>
            </w:r>
            <w:r w:rsidR="006B6518">
              <w:rPr>
                <w:noProof/>
                <w:webHidden/>
              </w:rPr>
              <w:t>8</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3" w:history="1">
            <w:r w:rsidR="006B6518" w:rsidRPr="002F1CF9">
              <w:rPr>
                <w:rStyle w:val="Lienhypertexte"/>
                <w:noProof/>
              </w:rPr>
              <w:t>IV.4 Remise des candidatures</w:t>
            </w:r>
            <w:r w:rsidR="006B6518">
              <w:rPr>
                <w:noProof/>
                <w:webHidden/>
              </w:rPr>
              <w:tab/>
            </w:r>
            <w:r w:rsidR="006B6518">
              <w:rPr>
                <w:noProof/>
                <w:webHidden/>
              </w:rPr>
              <w:fldChar w:fldCharType="begin"/>
            </w:r>
            <w:r w:rsidR="006B6518">
              <w:rPr>
                <w:noProof/>
                <w:webHidden/>
              </w:rPr>
              <w:instrText xml:space="preserve"> PAGEREF _Toc90540083 \h </w:instrText>
            </w:r>
            <w:r w:rsidR="006B6518">
              <w:rPr>
                <w:noProof/>
                <w:webHidden/>
              </w:rPr>
            </w:r>
            <w:r w:rsidR="006B6518">
              <w:rPr>
                <w:noProof/>
                <w:webHidden/>
              </w:rPr>
              <w:fldChar w:fldCharType="separate"/>
            </w:r>
            <w:r w:rsidR="006B6518">
              <w:rPr>
                <w:noProof/>
                <w:webHidden/>
              </w:rPr>
              <w:t>8</w:t>
            </w:r>
            <w:r w:rsidR="006B6518">
              <w:rPr>
                <w:noProof/>
                <w:webHidden/>
              </w:rPr>
              <w:fldChar w:fldCharType="end"/>
            </w:r>
          </w:hyperlink>
        </w:p>
        <w:p w:rsidR="006B6518" w:rsidRDefault="00215E01">
          <w:pPr>
            <w:pStyle w:val="TM1"/>
            <w:tabs>
              <w:tab w:val="right" w:leader="dot" w:pos="9062"/>
            </w:tabs>
            <w:rPr>
              <w:rFonts w:cstheme="minorBidi"/>
              <w:noProof/>
            </w:rPr>
          </w:pPr>
          <w:hyperlink w:anchor="_Toc90540084" w:history="1">
            <w:r w:rsidR="006B6518" w:rsidRPr="002F1CF9">
              <w:rPr>
                <w:rStyle w:val="Lienhypertexte"/>
                <w:noProof/>
              </w:rPr>
              <w:t>ARTICLE V- SELECTION DES CANDIDATS</w:t>
            </w:r>
            <w:r w:rsidR="006B6518">
              <w:rPr>
                <w:noProof/>
                <w:webHidden/>
              </w:rPr>
              <w:tab/>
            </w:r>
            <w:r w:rsidR="006B6518">
              <w:rPr>
                <w:noProof/>
                <w:webHidden/>
              </w:rPr>
              <w:fldChar w:fldCharType="begin"/>
            </w:r>
            <w:r w:rsidR="006B6518">
              <w:rPr>
                <w:noProof/>
                <w:webHidden/>
              </w:rPr>
              <w:instrText xml:space="preserve"> PAGEREF _Toc90540084 \h </w:instrText>
            </w:r>
            <w:r w:rsidR="006B6518">
              <w:rPr>
                <w:noProof/>
                <w:webHidden/>
              </w:rPr>
            </w:r>
            <w:r w:rsidR="006B6518">
              <w:rPr>
                <w:noProof/>
                <w:webHidden/>
              </w:rPr>
              <w:fldChar w:fldCharType="separate"/>
            </w:r>
            <w:r w:rsidR="006B6518">
              <w:rPr>
                <w:noProof/>
                <w:webHidden/>
              </w:rPr>
              <w:t>10</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5" w:history="1">
            <w:r w:rsidR="006B6518" w:rsidRPr="002F1CF9">
              <w:rPr>
                <w:rStyle w:val="Lienhypertexte"/>
                <w:noProof/>
              </w:rPr>
              <w:t>V.1 Critères de sélection des candidatures</w:t>
            </w:r>
            <w:r w:rsidR="006B6518">
              <w:rPr>
                <w:noProof/>
                <w:webHidden/>
              </w:rPr>
              <w:tab/>
            </w:r>
            <w:r w:rsidR="006B6518">
              <w:rPr>
                <w:noProof/>
                <w:webHidden/>
              </w:rPr>
              <w:fldChar w:fldCharType="begin"/>
            </w:r>
            <w:r w:rsidR="006B6518">
              <w:rPr>
                <w:noProof/>
                <w:webHidden/>
              </w:rPr>
              <w:instrText xml:space="preserve"> PAGEREF _Toc90540085 \h </w:instrText>
            </w:r>
            <w:r w:rsidR="006B6518">
              <w:rPr>
                <w:noProof/>
                <w:webHidden/>
              </w:rPr>
            </w:r>
            <w:r w:rsidR="006B6518">
              <w:rPr>
                <w:noProof/>
                <w:webHidden/>
              </w:rPr>
              <w:fldChar w:fldCharType="separate"/>
            </w:r>
            <w:r w:rsidR="006B6518">
              <w:rPr>
                <w:noProof/>
                <w:webHidden/>
              </w:rPr>
              <w:t>10</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6" w:history="1">
            <w:r w:rsidR="006B6518" w:rsidRPr="002F1CF9">
              <w:rPr>
                <w:rStyle w:val="Lienhypertexte"/>
                <w:noProof/>
              </w:rPr>
              <w:t>V. 2 Admission des candidatures</w:t>
            </w:r>
            <w:r w:rsidR="006B6518">
              <w:rPr>
                <w:noProof/>
                <w:webHidden/>
              </w:rPr>
              <w:tab/>
            </w:r>
            <w:r w:rsidR="006B6518">
              <w:rPr>
                <w:noProof/>
                <w:webHidden/>
              </w:rPr>
              <w:fldChar w:fldCharType="begin"/>
            </w:r>
            <w:r w:rsidR="006B6518">
              <w:rPr>
                <w:noProof/>
                <w:webHidden/>
              </w:rPr>
              <w:instrText xml:space="preserve"> PAGEREF _Toc90540086 \h </w:instrText>
            </w:r>
            <w:r w:rsidR="006B6518">
              <w:rPr>
                <w:noProof/>
                <w:webHidden/>
              </w:rPr>
            </w:r>
            <w:r w:rsidR="006B6518">
              <w:rPr>
                <w:noProof/>
                <w:webHidden/>
              </w:rPr>
              <w:fldChar w:fldCharType="separate"/>
            </w:r>
            <w:r w:rsidR="006B6518">
              <w:rPr>
                <w:noProof/>
                <w:webHidden/>
              </w:rPr>
              <w:t>10</w:t>
            </w:r>
            <w:r w:rsidR="006B6518">
              <w:rPr>
                <w:noProof/>
                <w:webHidden/>
              </w:rPr>
              <w:fldChar w:fldCharType="end"/>
            </w:r>
          </w:hyperlink>
        </w:p>
        <w:p w:rsidR="006B6518" w:rsidRDefault="00215E01">
          <w:pPr>
            <w:pStyle w:val="TM2"/>
            <w:tabs>
              <w:tab w:val="right" w:leader="dot" w:pos="9062"/>
            </w:tabs>
            <w:rPr>
              <w:rFonts w:cstheme="minorBidi"/>
              <w:noProof/>
            </w:rPr>
          </w:pPr>
          <w:hyperlink w:anchor="_Toc90540087" w:history="1">
            <w:r w:rsidR="006B6518" w:rsidRPr="002F1CF9">
              <w:rPr>
                <w:rStyle w:val="Lienhypertexte"/>
                <w:noProof/>
              </w:rPr>
              <w:t>VI.3 Rejet des candidatures</w:t>
            </w:r>
            <w:r w:rsidR="006B6518">
              <w:rPr>
                <w:noProof/>
                <w:webHidden/>
              </w:rPr>
              <w:tab/>
            </w:r>
            <w:r w:rsidR="006B6518">
              <w:rPr>
                <w:noProof/>
                <w:webHidden/>
              </w:rPr>
              <w:fldChar w:fldCharType="begin"/>
            </w:r>
            <w:r w:rsidR="006B6518">
              <w:rPr>
                <w:noProof/>
                <w:webHidden/>
              </w:rPr>
              <w:instrText xml:space="preserve"> PAGEREF _Toc90540087 \h </w:instrText>
            </w:r>
            <w:r w:rsidR="006B6518">
              <w:rPr>
                <w:noProof/>
                <w:webHidden/>
              </w:rPr>
            </w:r>
            <w:r w:rsidR="006B6518">
              <w:rPr>
                <w:noProof/>
                <w:webHidden/>
              </w:rPr>
              <w:fldChar w:fldCharType="separate"/>
            </w:r>
            <w:r w:rsidR="006B6518">
              <w:rPr>
                <w:noProof/>
                <w:webHidden/>
              </w:rPr>
              <w:t>11</w:t>
            </w:r>
            <w:r w:rsidR="006B6518">
              <w:rPr>
                <w:noProof/>
                <w:webHidden/>
              </w:rPr>
              <w:fldChar w:fldCharType="end"/>
            </w:r>
          </w:hyperlink>
        </w:p>
        <w:p w:rsidR="006B6518" w:rsidRDefault="00215E01">
          <w:pPr>
            <w:pStyle w:val="TM1"/>
            <w:tabs>
              <w:tab w:val="right" w:leader="dot" w:pos="9062"/>
            </w:tabs>
            <w:rPr>
              <w:rFonts w:cstheme="minorBidi"/>
              <w:noProof/>
            </w:rPr>
          </w:pPr>
          <w:hyperlink w:anchor="_Toc90540088" w:history="1">
            <w:r w:rsidR="006B6518" w:rsidRPr="002F1CF9">
              <w:rPr>
                <w:rStyle w:val="Lienhypertexte"/>
                <w:noProof/>
              </w:rPr>
              <w:t>ARTICLE VI – RENSEIGNEMENTS COMPLEMENTAIRES</w:t>
            </w:r>
            <w:r w:rsidR="006B6518">
              <w:rPr>
                <w:noProof/>
                <w:webHidden/>
              </w:rPr>
              <w:tab/>
            </w:r>
            <w:r w:rsidR="006B6518">
              <w:rPr>
                <w:noProof/>
                <w:webHidden/>
              </w:rPr>
              <w:fldChar w:fldCharType="begin"/>
            </w:r>
            <w:r w:rsidR="006B6518">
              <w:rPr>
                <w:noProof/>
                <w:webHidden/>
              </w:rPr>
              <w:instrText xml:space="preserve"> PAGEREF _Toc90540088 \h </w:instrText>
            </w:r>
            <w:r w:rsidR="006B6518">
              <w:rPr>
                <w:noProof/>
                <w:webHidden/>
              </w:rPr>
            </w:r>
            <w:r w:rsidR="006B6518">
              <w:rPr>
                <w:noProof/>
                <w:webHidden/>
              </w:rPr>
              <w:fldChar w:fldCharType="separate"/>
            </w:r>
            <w:r w:rsidR="006B6518">
              <w:rPr>
                <w:noProof/>
                <w:webHidden/>
              </w:rPr>
              <w:t>11</w:t>
            </w:r>
            <w:r w:rsidR="006B6518">
              <w:rPr>
                <w:noProof/>
                <w:webHidden/>
              </w:rPr>
              <w:fldChar w:fldCharType="end"/>
            </w:r>
          </w:hyperlink>
        </w:p>
        <w:p w:rsidR="006B6518" w:rsidRDefault="006B6518">
          <w:r>
            <w:rPr>
              <w:b/>
              <w:bCs/>
            </w:rPr>
            <w:fldChar w:fldCharType="end"/>
          </w:r>
        </w:p>
      </w:sdtContent>
    </w:sdt>
    <w:p w:rsidR="005047A9" w:rsidRDefault="005047A9" w:rsidP="0047417F">
      <w:pPr>
        <w:jc w:val="both"/>
      </w:pPr>
      <w:r>
        <w:br w:type="page"/>
      </w:r>
    </w:p>
    <w:p w:rsidR="002D5C04" w:rsidRDefault="002D5C04" w:rsidP="0047417F">
      <w:pPr>
        <w:pStyle w:val="Titre1"/>
        <w:jc w:val="both"/>
      </w:pPr>
      <w:bookmarkStart w:id="0" w:name="_Toc90540066"/>
      <w:r>
        <w:lastRenderedPageBreak/>
        <w:t>ARTICLE I – POUVOIR ADJUDICATEUR</w:t>
      </w:r>
      <w:bookmarkEnd w:id="0"/>
    </w:p>
    <w:p w:rsidR="005047A9" w:rsidRPr="005047A9" w:rsidRDefault="005047A9" w:rsidP="0047417F">
      <w:pPr>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45"/>
        <w:gridCol w:w="4145"/>
      </w:tblGrid>
      <w:tr w:rsidR="005047A9" w:rsidRPr="005047A9" w:rsidTr="00D374E5">
        <w:trPr>
          <w:trHeight w:val="379"/>
        </w:trPr>
        <w:tc>
          <w:tcPr>
            <w:tcW w:w="4145" w:type="dxa"/>
          </w:tcPr>
          <w:p w:rsidR="005047A9" w:rsidRPr="005047A9" w:rsidRDefault="005047A9" w:rsidP="0047417F">
            <w:pPr>
              <w:jc w:val="both"/>
            </w:pPr>
            <w:r w:rsidRPr="005047A9">
              <w:t xml:space="preserve">Représentant du pouvoir adjudicateur : </w:t>
            </w:r>
          </w:p>
        </w:tc>
        <w:tc>
          <w:tcPr>
            <w:tcW w:w="4145" w:type="dxa"/>
          </w:tcPr>
          <w:p w:rsidR="005047A9" w:rsidRPr="005047A9" w:rsidRDefault="005047A9" w:rsidP="0047417F">
            <w:pPr>
              <w:jc w:val="both"/>
            </w:pPr>
            <w:r>
              <w:rPr>
                <w:b/>
                <w:bCs/>
              </w:rPr>
              <w:t>CHU de</w:t>
            </w:r>
            <w:r w:rsidRPr="005047A9">
              <w:rPr>
                <w:b/>
                <w:bCs/>
              </w:rPr>
              <w:t xml:space="preserve"> </w:t>
            </w:r>
            <w:r>
              <w:rPr>
                <w:b/>
                <w:bCs/>
              </w:rPr>
              <w:t>Rouen Normandie</w:t>
            </w:r>
          </w:p>
          <w:p w:rsidR="005047A9" w:rsidRPr="005047A9" w:rsidRDefault="005047A9" w:rsidP="0047417F">
            <w:pPr>
              <w:jc w:val="both"/>
            </w:pPr>
            <w:r>
              <w:rPr>
                <w:b/>
                <w:bCs/>
              </w:rPr>
              <w:t>Etablissement support du GHT</w:t>
            </w:r>
            <w:r w:rsidR="00D374E5">
              <w:rPr>
                <w:b/>
                <w:bCs/>
              </w:rPr>
              <w:t xml:space="preserve"> Rouen Cœur de Seine</w:t>
            </w:r>
          </w:p>
          <w:p w:rsidR="005047A9" w:rsidRDefault="00EB21F4" w:rsidP="0047417F">
            <w:pPr>
              <w:jc w:val="both"/>
              <w:rPr>
                <w:b/>
                <w:bCs/>
              </w:rPr>
            </w:pPr>
            <w:r>
              <w:rPr>
                <w:b/>
                <w:bCs/>
              </w:rPr>
              <w:t>La Directrice</w:t>
            </w:r>
            <w:r w:rsidR="005047A9" w:rsidRPr="005047A9">
              <w:rPr>
                <w:b/>
                <w:bCs/>
              </w:rPr>
              <w:t xml:space="preserve"> Général</w:t>
            </w:r>
            <w:r>
              <w:rPr>
                <w:b/>
                <w:bCs/>
              </w:rPr>
              <w:t>e du CHU de Rouen</w:t>
            </w:r>
            <w:r w:rsidR="005047A9" w:rsidRPr="005047A9">
              <w:rPr>
                <w:b/>
                <w:bCs/>
              </w:rPr>
              <w:t xml:space="preserve"> </w:t>
            </w:r>
          </w:p>
          <w:p w:rsidR="00D374E5" w:rsidRPr="005047A9" w:rsidRDefault="00D374E5" w:rsidP="0047417F">
            <w:pPr>
              <w:jc w:val="both"/>
            </w:pPr>
          </w:p>
        </w:tc>
      </w:tr>
      <w:tr w:rsidR="005047A9" w:rsidRPr="005047A9" w:rsidTr="00D374E5">
        <w:trPr>
          <w:trHeight w:val="244"/>
        </w:trPr>
        <w:tc>
          <w:tcPr>
            <w:tcW w:w="4145" w:type="dxa"/>
          </w:tcPr>
          <w:p w:rsidR="005047A9" w:rsidRPr="005047A9" w:rsidRDefault="005047A9" w:rsidP="0047417F">
            <w:pPr>
              <w:jc w:val="both"/>
            </w:pPr>
            <w:r w:rsidRPr="005047A9">
              <w:t xml:space="preserve">Adresse : </w:t>
            </w:r>
          </w:p>
        </w:tc>
        <w:tc>
          <w:tcPr>
            <w:tcW w:w="4145" w:type="dxa"/>
          </w:tcPr>
          <w:p w:rsidR="005047A9" w:rsidRPr="005047A9" w:rsidRDefault="00D374E5" w:rsidP="0047417F">
            <w:pPr>
              <w:jc w:val="both"/>
            </w:pPr>
            <w:r>
              <w:rPr>
                <w:b/>
                <w:bCs/>
              </w:rPr>
              <w:t>1 rue Germont</w:t>
            </w:r>
          </w:p>
          <w:p w:rsidR="005047A9" w:rsidRDefault="00D374E5" w:rsidP="0047417F">
            <w:pPr>
              <w:jc w:val="both"/>
              <w:rPr>
                <w:b/>
                <w:bCs/>
              </w:rPr>
            </w:pPr>
            <w:r>
              <w:rPr>
                <w:b/>
                <w:bCs/>
              </w:rPr>
              <w:t>76031 Rouen</w:t>
            </w:r>
            <w:r w:rsidR="005047A9" w:rsidRPr="005047A9">
              <w:rPr>
                <w:b/>
                <w:bCs/>
              </w:rPr>
              <w:t xml:space="preserve"> cedex </w:t>
            </w:r>
          </w:p>
          <w:p w:rsidR="00D374E5" w:rsidRPr="005047A9" w:rsidRDefault="00D374E5" w:rsidP="0047417F">
            <w:pPr>
              <w:jc w:val="both"/>
            </w:pPr>
          </w:p>
        </w:tc>
      </w:tr>
      <w:tr w:rsidR="005047A9" w:rsidRPr="005047A9" w:rsidTr="00D374E5">
        <w:trPr>
          <w:trHeight w:val="140"/>
        </w:trPr>
        <w:tc>
          <w:tcPr>
            <w:tcW w:w="4145" w:type="dxa"/>
          </w:tcPr>
          <w:p w:rsidR="005047A9" w:rsidRPr="005047A9" w:rsidRDefault="005047A9" w:rsidP="0047417F">
            <w:pPr>
              <w:jc w:val="both"/>
            </w:pPr>
            <w:r w:rsidRPr="005047A9">
              <w:t xml:space="preserve">Adresse électronique : </w:t>
            </w:r>
          </w:p>
        </w:tc>
        <w:tc>
          <w:tcPr>
            <w:tcW w:w="4145" w:type="dxa"/>
          </w:tcPr>
          <w:p w:rsidR="005047A9" w:rsidRPr="005047A9" w:rsidRDefault="00EB21F4" w:rsidP="0047417F">
            <w:pPr>
              <w:jc w:val="both"/>
            </w:pPr>
            <w:r>
              <w:rPr>
                <w:b/>
                <w:bCs/>
              </w:rPr>
              <w:t>CelluleMarches@chu-rouen.fr</w:t>
            </w:r>
            <w:r w:rsidR="005047A9" w:rsidRPr="005047A9">
              <w:rPr>
                <w:b/>
                <w:bCs/>
              </w:rPr>
              <w:t xml:space="preserve"> </w:t>
            </w:r>
          </w:p>
        </w:tc>
      </w:tr>
      <w:tr w:rsidR="005047A9" w:rsidRPr="005047A9" w:rsidTr="00D374E5">
        <w:trPr>
          <w:trHeight w:val="304"/>
        </w:trPr>
        <w:tc>
          <w:tcPr>
            <w:tcW w:w="4145" w:type="dxa"/>
          </w:tcPr>
          <w:p w:rsidR="005047A9" w:rsidRPr="005047A9" w:rsidRDefault="005047A9" w:rsidP="0047417F">
            <w:pPr>
              <w:jc w:val="both"/>
            </w:pPr>
            <w:r w:rsidRPr="005047A9">
              <w:t xml:space="preserve">Adresse du profil acheteur </w:t>
            </w:r>
          </w:p>
          <w:p w:rsidR="005047A9" w:rsidRPr="005047A9" w:rsidRDefault="005047A9" w:rsidP="0047417F">
            <w:pPr>
              <w:jc w:val="both"/>
            </w:pPr>
            <w:r w:rsidRPr="005047A9">
              <w:t xml:space="preserve">Adresse internet </w:t>
            </w:r>
          </w:p>
        </w:tc>
        <w:tc>
          <w:tcPr>
            <w:tcW w:w="4145" w:type="dxa"/>
          </w:tcPr>
          <w:p w:rsidR="0047417F" w:rsidRDefault="00215E01" w:rsidP="0047417F">
            <w:pPr>
              <w:jc w:val="both"/>
              <w:rPr>
                <w:b/>
                <w:bCs/>
              </w:rPr>
            </w:pPr>
            <w:hyperlink r:id="rId9" w:history="1">
              <w:r w:rsidR="0047417F" w:rsidRPr="00E7614B">
                <w:rPr>
                  <w:rStyle w:val="Lienhypertexte"/>
                  <w:b/>
                  <w:bCs/>
                </w:rPr>
                <w:t>https://www.marches-publics.gouv.fr</w:t>
              </w:r>
            </w:hyperlink>
          </w:p>
          <w:p w:rsidR="005047A9" w:rsidRPr="005047A9" w:rsidRDefault="00215E01" w:rsidP="0047417F">
            <w:pPr>
              <w:jc w:val="both"/>
            </w:pPr>
            <w:hyperlink r:id="rId10" w:history="1">
              <w:r w:rsidR="00D374E5" w:rsidRPr="009D6EAF">
                <w:rPr>
                  <w:rStyle w:val="Lienhypertexte"/>
                  <w:b/>
                  <w:bCs/>
                </w:rPr>
                <w:t>https://www.chu-rouen.fr/</w:t>
              </w:r>
            </w:hyperlink>
            <w:r w:rsidR="00D374E5">
              <w:rPr>
                <w:b/>
                <w:bCs/>
              </w:rPr>
              <w:t xml:space="preserve"> </w:t>
            </w:r>
          </w:p>
        </w:tc>
      </w:tr>
    </w:tbl>
    <w:p w:rsidR="00D374E5" w:rsidRDefault="00D374E5" w:rsidP="0047417F">
      <w:pPr>
        <w:jc w:val="both"/>
      </w:pPr>
    </w:p>
    <w:p w:rsidR="002D5C04" w:rsidRDefault="002D5C04" w:rsidP="0047417F">
      <w:pPr>
        <w:pStyle w:val="Titre1"/>
        <w:jc w:val="both"/>
      </w:pPr>
      <w:bookmarkStart w:id="1" w:name="_Toc90540067"/>
      <w:r>
        <w:t>ARTICLE II - OBJET DE LA CONSULTATION</w:t>
      </w:r>
      <w:bookmarkEnd w:id="1"/>
    </w:p>
    <w:p w:rsidR="00D374E5" w:rsidRPr="00D374E5" w:rsidRDefault="00D374E5" w:rsidP="0047417F">
      <w:pPr>
        <w:jc w:val="both"/>
      </w:pPr>
    </w:p>
    <w:p w:rsidR="005B2A45" w:rsidRPr="005B2A45" w:rsidRDefault="002D5C04" w:rsidP="0047417F">
      <w:pPr>
        <w:pStyle w:val="Titre2"/>
        <w:jc w:val="both"/>
      </w:pPr>
      <w:bookmarkStart w:id="2" w:name="_Toc90540068"/>
      <w:r>
        <w:t>II.1 Intitulé</w:t>
      </w:r>
      <w:bookmarkEnd w:id="2"/>
    </w:p>
    <w:p w:rsidR="002D5C04" w:rsidRDefault="002D5C04" w:rsidP="0047417F">
      <w:pPr>
        <w:jc w:val="both"/>
      </w:pPr>
      <w:r>
        <w:t xml:space="preserve">La présente consultation a pour objet la mise en place d’un système d’acquisition dynamique portant sur la présélection d’opérateurs économiques ayant vocation à être mis en concurrence pour l’obtention de Marchés spécifiques relatifs à la fourniture d'articles à usage unique pour le </w:t>
      </w:r>
      <w:r w:rsidR="00D374E5">
        <w:t xml:space="preserve">GHT Rouen Cœur de Seine. </w:t>
      </w:r>
    </w:p>
    <w:p w:rsidR="002D5C04" w:rsidRDefault="002D5C04" w:rsidP="0047417F">
      <w:pPr>
        <w:jc w:val="both"/>
      </w:pPr>
      <w:r>
        <w:t xml:space="preserve">Elle concerne les besoins des établissements </w:t>
      </w:r>
      <w:r w:rsidR="00EB21F4">
        <w:t>membres du GHT</w:t>
      </w:r>
      <w:r w:rsidR="00A1107A">
        <w:t xml:space="preserve"> Rouen Cœur de Seine, décrits dans le CCATP.</w:t>
      </w:r>
    </w:p>
    <w:p w:rsidR="00D374E5" w:rsidRDefault="00D374E5" w:rsidP="0047417F">
      <w:pPr>
        <w:jc w:val="both"/>
      </w:pPr>
    </w:p>
    <w:p w:rsidR="00D374E5" w:rsidRDefault="00D374E5" w:rsidP="0047417F">
      <w:pPr>
        <w:jc w:val="both"/>
      </w:pPr>
    </w:p>
    <w:p w:rsidR="00D374E5" w:rsidRDefault="002D5C04" w:rsidP="0047417F">
      <w:pPr>
        <w:pStyle w:val="Titre2"/>
        <w:jc w:val="both"/>
      </w:pPr>
      <w:bookmarkStart w:id="3" w:name="_Toc90540069"/>
      <w:r>
        <w:t>II.2 Description du marché</w:t>
      </w:r>
      <w:bookmarkEnd w:id="3"/>
      <w:r>
        <w:t xml:space="preserve"> </w:t>
      </w:r>
    </w:p>
    <w:p w:rsidR="00D374E5" w:rsidRPr="00D374E5" w:rsidRDefault="00D374E5" w:rsidP="0047417F">
      <w:pPr>
        <w:jc w:val="both"/>
      </w:pPr>
    </w:p>
    <w:p w:rsidR="00D374E5" w:rsidRPr="00D374E5" w:rsidRDefault="002D5C04" w:rsidP="0047417F">
      <w:pPr>
        <w:pStyle w:val="Titre3"/>
        <w:jc w:val="both"/>
      </w:pPr>
      <w:bookmarkStart w:id="4" w:name="_Toc90540070"/>
      <w:r>
        <w:t>II.2.1 Technique d’achat</w:t>
      </w:r>
      <w:bookmarkEnd w:id="4"/>
    </w:p>
    <w:p w:rsidR="002D5C04" w:rsidRDefault="002D5C04" w:rsidP="0047417F">
      <w:pPr>
        <w:jc w:val="both"/>
      </w:pPr>
      <w:r>
        <w:t>Le système d'acquisition dynamique est passé en application des articles R.2162-37 à R.2162-51 du Code de la commande publique.</w:t>
      </w:r>
    </w:p>
    <w:p w:rsidR="002D5C04" w:rsidRDefault="002D5C04" w:rsidP="0047417F">
      <w:pPr>
        <w:jc w:val="both"/>
      </w:pPr>
      <w:r>
        <w:t>Le Système d’Acquisition Dynamique (SAD) se définit comme un processus entièrement électronique de passation de marché public, pour des achats d’usage courant, par lequel l’acheteur attribue, après mise en concurrence, un ou plusieurs marchés spécifiques à l’un des opérateurs préalablement sélectionnés.</w:t>
      </w:r>
    </w:p>
    <w:p w:rsidR="002D5C04" w:rsidRDefault="002D5C04" w:rsidP="0047417F">
      <w:pPr>
        <w:jc w:val="both"/>
      </w:pPr>
      <w:r>
        <w:t xml:space="preserve">Le SAD se met en </w:t>
      </w:r>
      <w:r w:rsidR="005B2A45">
        <w:t>œuvre</w:t>
      </w:r>
      <w:r>
        <w:t xml:space="preserve"> de la façon suivante :</w:t>
      </w:r>
    </w:p>
    <w:p w:rsidR="002D5C04" w:rsidRDefault="002D5C04" w:rsidP="0047417F">
      <w:pPr>
        <w:pStyle w:val="Paragraphedeliste"/>
        <w:numPr>
          <w:ilvl w:val="0"/>
          <w:numId w:val="2"/>
        </w:numPr>
        <w:jc w:val="both"/>
      </w:pPr>
      <w:r>
        <w:lastRenderedPageBreak/>
        <w:t>Un avis de publicité est publié et le dossier de consultation des entreprises (DCE) est mis en ligne pour toute la durée du système,</w:t>
      </w:r>
    </w:p>
    <w:p w:rsidR="002D5C04" w:rsidRDefault="002D5C04" w:rsidP="0047417F">
      <w:pPr>
        <w:pStyle w:val="Paragraphedeliste"/>
        <w:numPr>
          <w:ilvl w:val="0"/>
          <w:numId w:val="2"/>
        </w:numPr>
        <w:jc w:val="both"/>
      </w:pPr>
      <w:r>
        <w:t>Le DCE précise l</w:t>
      </w:r>
      <w:r w:rsidR="00EB21F4">
        <w:t>a nature des achats envisagés</w:t>
      </w:r>
      <w:r>
        <w:t>,</w:t>
      </w:r>
    </w:p>
    <w:p w:rsidR="002D5C04" w:rsidRDefault="002D5C04" w:rsidP="0047417F">
      <w:pPr>
        <w:pStyle w:val="Paragraphedeliste"/>
        <w:numPr>
          <w:ilvl w:val="0"/>
          <w:numId w:val="2"/>
        </w:numPr>
        <w:jc w:val="both"/>
      </w:pPr>
      <w:r>
        <w:t>Le système est ouvert, pendant toute sa période de validité, à tout opérateur économique satisfaisant aux critères de sélection des candidatures *,</w:t>
      </w:r>
    </w:p>
    <w:p w:rsidR="002D5C04" w:rsidRDefault="002D5C04" w:rsidP="0047417F">
      <w:pPr>
        <w:pStyle w:val="Paragraphedeliste"/>
        <w:numPr>
          <w:ilvl w:val="0"/>
          <w:numId w:val="2"/>
        </w:numPr>
        <w:jc w:val="both"/>
      </w:pPr>
      <w:r>
        <w:t>Au cours de la durée de vie du système, tout opérateur peut demander à l’intégrer *,</w:t>
      </w:r>
    </w:p>
    <w:p w:rsidR="002D5C04" w:rsidRDefault="002D5C04" w:rsidP="0047417F">
      <w:pPr>
        <w:pStyle w:val="Paragraphedeliste"/>
        <w:numPr>
          <w:ilvl w:val="0"/>
          <w:numId w:val="2"/>
        </w:numPr>
        <w:jc w:val="both"/>
      </w:pPr>
      <w:r>
        <w:t xml:space="preserve">Lorsque le Pouvoir Adjudicateur lance un marché spécifique, il invite tous les candidats, présents dans le système admis sur une catégorie, à répondre. Le délai de réception des offres est fixé par le </w:t>
      </w:r>
      <w:r w:rsidR="00EB21F4">
        <w:t>CHU de Rouen Normandie</w:t>
      </w:r>
      <w:r>
        <w:t>, ce délai est au moins égal à 10 jours, toutefois un délai plus court peut-être fixé</w:t>
      </w:r>
      <w:r w:rsidR="00EB21F4">
        <w:t xml:space="preserve"> </w:t>
      </w:r>
      <w:r w:rsidR="00A1107A">
        <w:t>tel que décrit au CCATP notamment dans des situ</w:t>
      </w:r>
      <w:r w:rsidR="00EB21F4">
        <w:t>ations d’urgence.</w:t>
      </w:r>
    </w:p>
    <w:p w:rsidR="002D5C04" w:rsidRDefault="002D5C04" w:rsidP="0047417F">
      <w:pPr>
        <w:pStyle w:val="Paragraphedeliste"/>
        <w:numPr>
          <w:ilvl w:val="0"/>
          <w:numId w:val="2"/>
        </w:numPr>
        <w:jc w:val="both"/>
      </w:pPr>
      <w:r>
        <w:t>La durée de validité du système annoncée initialement peut être modifiée par le Pouvoir Adjudicateur, les opérateurs en sont informés par la publication d’un avis modificatif.</w:t>
      </w:r>
    </w:p>
    <w:p w:rsidR="00215E01" w:rsidRDefault="00215E01" w:rsidP="00215E01">
      <w:pPr>
        <w:jc w:val="both"/>
      </w:pPr>
    </w:p>
    <w:p w:rsidR="002D5C04" w:rsidRPr="005B2A45" w:rsidRDefault="002D5C04" w:rsidP="0047417F">
      <w:pPr>
        <w:pBdr>
          <w:top w:val="single" w:sz="4" w:space="1" w:color="auto"/>
          <w:left w:val="single" w:sz="4" w:space="4" w:color="auto"/>
          <w:bottom w:val="single" w:sz="4" w:space="1" w:color="auto"/>
          <w:right w:val="single" w:sz="4" w:space="4" w:color="auto"/>
        </w:pBdr>
        <w:jc w:val="both"/>
        <w:rPr>
          <w:i/>
        </w:rPr>
      </w:pPr>
      <w:r w:rsidRPr="005B2A45">
        <w:rPr>
          <w:i/>
        </w:rPr>
        <w:t>* Conformément à l’article R.2162-43 du Code de la commande publique, le Pouvoir Adjudicateur accorde, pendant toute la durée de validité du SAD, la possibilité à tout opérateur économique de demander à y entrer.</w:t>
      </w:r>
    </w:p>
    <w:p w:rsidR="002D5C04" w:rsidRPr="005B2A45" w:rsidRDefault="002D5C04" w:rsidP="0047417F">
      <w:pPr>
        <w:pBdr>
          <w:top w:val="single" w:sz="4" w:space="1" w:color="auto"/>
          <w:left w:val="single" w:sz="4" w:space="4" w:color="auto"/>
          <w:bottom w:val="single" w:sz="4" w:space="1" w:color="auto"/>
          <w:right w:val="single" w:sz="4" w:space="4" w:color="auto"/>
        </w:pBdr>
        <w:jc w:val="both"/>
        <w:rPr>
          <w:i/>
        </w:rPr>
      </w:pPr>
      <w:r w:rsidRPr="005B2A45">
        <w:rPr>
          <w:i/>
        </w:rPr>
        <w:t>Dans ce cas, l’opérateur adresse son dossier de candidature (comprenant les éléments mentionnés à l’article IV.2 du présent règlement) au Pouvoir Adjudicateur, qui se prononce sur la recevabilité de cette candidature dans un délai de 10 jours ouvrables à compter de la réception de la candidature. Ce délai est susceptible d’être porté à 15 jours ouvrables, dans le cas où des compléments de candidature sont requis par le Pouvoir Adjudicateur.</w:t>
      </w:r>
    </w:p>
    <w:p w:rsidR="002D5C04" w:rsidRPr="005B2A45" w:rsidRDefault="002D5C04" w:rsidP="0047417F">
      <w:pPr>
        <w:pBdr>
          <w:top w:val="single" w:sz="4" w:space="1" w:color="auto"/>
          <w:left w:val="single" w:sz="4" w:space="4" w:color="auto"/>
          <w:bottom w:val="single" w:sz="4" w:space="1" w:color="auto"/>
          <w:right w:val="single" w:sz="4" w:space="4" w:color="auto"/>
        </w:pBdr>
        <w:jc w:val="both"/>
        <w:rPr>
          <w:i/>
        </w:rPr>
      </w:pPr>
      <w:r w:rsidRPr="005B2A45">
        <w:rPr>
          <w:i/>
        </w:rPr>
        <w:t>Toutefois, aucune demande d’admission dans le système ne sera examinée pendant une phase de consultation visant à attribuer un marché spécifique.</w:t>
      </w:r>
    </w:p>
    <w:p w:rsidR="00215E01" w:rsidRDefault="00215E01" w:rsidP="0047417F">
      <w:pPr>
        <w:pStyle w:val="Titre3"/>
        <w:jc w:val="both"/>
      </w:pPr>
      <w:bookmarkStart w:id="5" w:name="_Toc90540071"/>
    </w:p>
    <w:p w:rsidR="00215E01" w:rsidRDefault="00215E01" w:rsidP="0047417F">
      <w:pPr>
        <w:pStyle w:val="Titre3"/>
        <w:jc w:val="both"/>
      </w:pPr>
    </w:p>
    <w:p w:rsidR="005B2A45" w:rsidRPr="005B2A45" w:rsidRDefault="002D5C04" w:rsidP="0047417F">
      <w:pPr>
        <w:pStyle w:val="Titre3"/>
        <w:jc w:val="both"/>
      </w:pPr>
      <w:r>
        <w:t>II.2.2 Forme des marchés spécifiques</w:t>
      </w:r>
      <w:bookmarkEnd w:id="5"/>
    </w:p>
    <w:p w:rsidR="002D5C04" w:rsidRDefault="002D5C04" w:rsidP="0047417F">
      <w:pPr>
        <w:jc w:val="both"/>
      </w:pPr>
      <w:r>
        <w:t>Les marchés spécifiques prendront la forme d’accord-cadre mono-attributaire avec émissions de b</w:t>
      </w:r>
      <w:r w:rsidR="00EB21F4">
        <w:t xml:space="preserve">ons de commandes. Ils seront </w:t>
      </w:r>
      <w:r>
        <w:t>conclu</w:t>
      </w:r>
      <w:r w:rsidR="00EB21F4">
        <w:t>s</w:t>
      </w:r>
      <w:r>
        <w:t xml:space="preserve"> sans minimum, </w:t>
      </w:r>
      <w:r w:rsidR="00536995">
        <w:t xml:space="preserve">avec un </w:t>
      </w:r>
      <w:r>
        <w:t>maximum, en application du 3° de l’article R2162-4 du Code de la commande publique.</w:t>
      </w:r>
    </w:p>
    <w:p w:rsidR="002D5C04" w:rsidRDefault="002D5C04" w:rsidP="0047417F">
      <w:pPr>
        <w:jc w:val="both"/>
      </w:pPr>
      <w:r>
        <w:t>Les modalités de passation des marchés spécifiques et l’émission des bons de commande sont précisés dans le CCATP.</w:t>
      </w:r>
    </w:p>
    <w:p w:rsidR="005B2A45" w:rsidRDefault="005B2A45" w:rsidP="0047417F">
      <w:pPr>
        <w:jc w:val="both"/>
      </w:pPr>
    </w:p>
    <w:p w:rsidR="005B2A45" w:rsidRDefault="005B2A45" w:rsidP="0047417F">
      <w:pPr>
        <w:pStyle w:val="Titre3"/>
        <w:jc w:val="both"/>
      </w:pPr>
      <w:bookmarkStart w:id="6" w:name="_Toc90540072"/>
      <w:r>
        <w:t>II.2.3 Classification CPV</w:t>
      </w:r>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2988"/>
      </w:tblGrid>
      <w:tr w:rsidR="00215E01" w:rsidRPr="0047417F" w:rsidTr="0047417F">
        <w:trPr>
          <w:trHeight w:val="123"/>
        </w:trPr>
        <w:tc>
          <w:tcPr>
            <w:tcW w:w="2988" w:type="dxa"/>
          </w:tcPr>
          <w:p w:rsidR="00215E01" w:rsidRPr="0047417F" w:rsidRDefault="00215E01" w:rsidP="0047417F">
            <w:pPr>
              <w:jc w:val="both"/>
            </w:pPr>
            <w:r>
              <w:t xml:space="preserve">Embouts pipettes </w:t>
            </w:r>
          </w:p>
        </w:tc>
        <w:tc>
          <w:tcPr>
            <w:tcW w:w="2988" w:type="dxa"/>
          </w:tcPr>
          <w:p w:rsidR="00215E01" w:rsidRPr="0047417F" w:rsidRDefault="00215E01" w:rsidP="0047417F">
            <w:pPr>
              <w:jc w:val="both"/>
            </w:pPr>
            <w:r>
              <w:t>38437110</w:t>
            </w:r>
          </w:p>
        </w:tc>
      </w:tr>
      <w:tr w:rsidR="00215E01" w:rsidRPr="0047417F" w:rsidTr="0047417F">
        <w:trPr>
          <w:trHeight w:val="110"/>
        </w:trPr>
        <w:tc>
          <w:tcPr>
            <w:tcW w:w="2988" w:type="dxa"/>
          </w:tcPr>
          <w:p w:rsidR="00215E01" w:rsidRPr="0047417F" w:rsidRDefault="00215E01" w:rsidP="0047417F">
            <w:pPr>
              <w:jc w:val="both"/>
            </w:pPr>
            <w:r>
              <w:t>Milieux de culture</w:t>
            </w:r>
          </w:p>
        </w:tc>
        <w:tc>
          <w:tcPr>
            <w:tcW w:w="2988" w:type="dxa"/>
          </w:tcPr>
          <w:p w:rsidR="00215E01" w:rsidRPr="0047417F" w:rsidRDefault="00215E01" w:rsidP="0047417F">
            <w:pPr>
              <w:jc w:val="both"/>
            </w:pPr>
            <w:r>
              <w:t>24931250</w:t>
            </w:r>
          </w:p>
        </w:tc>
      </w:tr>
      <w:tr w:rsidR="00215E01" w:rsidRPr="0047417F" w:rsidTr="0047417F">
        <w:trPr>
          <w:trHeight w:val="379"/>
        </w:trPr>
        <w:tc>
          <w:tcPr>
            <w:tcW w:w="2988" w:type="dxa"/>
          </w:tcPr>
          <w:p w:rsidR="00215E01" w:rsidRPr="0047417F" w:rsidRDefault="00215E01" w:rsidP="0047417F">
            <w:pPr>
              <w:jc w:val="both"/>
            </w:pPr>
            <w:r>
              <w:t xml:space="preserve">Kits de prélèvements d’éléments biologiques </w:t>
            </w:r>
          </w:p>
        </w:tc>
        <w:tc>
          <w:tcPr>
            <w:tcW w:w="2988" w:type="dxa"/>
          </w:tcPr>
          <w:p w:rsidR="00215E01" w:rsidRPr="0047417F" w:rsidRDefault="00215E01" w:rsidP="0047417F">
            <w:pPr>
              <w:jc w:val="both"/>
            </w:pPr>
            <w:r>
              <w:t>33954000</w:t>
            </w:r>
          </w:p>
        </w:tc>
      </w:tr>
    </w:tbl>
    <w:p w:rsidR="0047417F" w:rsidRPr="005B2A45" w:rsidRDefault="0047417F" w:rsidP="0047417F">
      <w:pPr>
        <w:jc w:val="both"/>
      </w:pPr>
    </w:p>
    <w:p w:rsidR="002D5C04" w:rsidRDefault="002D5C04" w:rsidP="0047417F">
      <w:pPr>
        <w:pStyle w:val="Titre3"/>
        <w:jc w:val="both"/>
      </w:pPr>
      <w:bookmarkStart w:id="7" w:name="_Toc90540073"/>
      <w:r>
        <w:lastRenderedPageBreak/>
        <w:t>II.2.4 Division en catégories</w:t>
      </w:r>
      <w:bookmarkEnd w:id="7"/>
    </w:p>
    <w:p w:rsidR="002D5C04" w:rsidRDefault="002D5C04" w:rsidP="0047417F">
      <w:pPr>
        <w:jc w:val="both"/>
      </w:pPr>
      <w:r>
        <w:t xml:space="preserve">Le présent système d’acquisition dynamique est subdivisé en </w:t>
      </w:r>
      <w:r w:rsidR="003E1309">
        <w:t>3</w:t>
      </w:r>
      <w:r w:rsidR="00477032">
        <w:t xml:space="preserve"> </w:t>
      </w:r>
      <w:r>
        <w:t>catégories :</w:t>
      </w:r>
    </w:p>
    <w:p w:rsidR="007107ED" w:rsidRPr="007107ED" w:rsidRDefault="007107ED" w:rsidP="007107ED">
      <w:pPr>
        <w:pStyle w:val="Paragraphedeliste"/>
        <w:numPr>
          <w:ilvl w:val="0"/>
          <w:numId w:val="14"/>
        </w:numPr>
        <w:spacing w:after="0" w:line="240" w:lineRule="auto"/>
        <w:contextualSpacing w:val="0"/>
        <w:jc w:val="both"/>
      </w:pPr>
      <w:r w:rsidRPr="007107ED">
        <w:t xml:space="preserve"> Catégorie 1 : Kit de prélèvement manuel sur écouvillon avec ou sans milieu de transport</w:t>
      </w:r>
    </w:p>
    <w:p w:rsidR="007107ED" w:rsidRDefault="007107ED" w:rsidP="007107ED">
      <w:pPr>
        <w:spacing w:after="0" w:line="240" w:lineRule="auto"/>
        <w:ind w:left="708"/>
        <w:jc w:val="both"/>
      </w:pPr>
      <w:r w:rsidRPr="007107ED">
        <w:t>Ce</w:t>
      </w:r>
      <w:r w:rsidR="00CC4D1D">
        <w:t>tte catégorie</w:t>
      </w:r>
      <w:r w:rsidRPr="007107ED">
        <w:t xml:space="preserve"> concerne la fourniture d’écouvillons de prélèvement avec ou sans milieu de transport.</w:t>
      </w:r>
    </w:p>
    <w:p w:rsidR="00477032" w:rsidRPr="007107ED" w:rsidRDefault="003E1309" w:rsidP="00215E01">
      <w:pPr>
        <w:spacing w:after="0" w:line="240" w:lineRule="auto"/>
        <w:ind w:left="708"/>
        <w:jc w:val="both"/>
      </w:pPr>
      <w:r>
        <w:t xml:space="preserve">Montant estimé : </w:t>
      </w:r>
      <w:r w:rsidR="00477032">
        <w:t>500</w:t>
      </w:r>
      <w:r w:rsidR="00CC4D1D">
        <w:t> </w:t>
      </w:r>
      <w:r w:rsidR="00477032">
        <w:t xml:space="preserve">000 € </w:t>
      </w:r>
      <w:r w:rsidR="008A7D5B">
        <w:t xml:space="preserve">HT </w:t>
      </w:r>
      <w:r w:rsidR="00CC4D1D">
        <w:t xml:space="preserve">par </w:t>
      </w:r>
      <w:r w:rsidR="00477032">
        <w:t>an.</w:t>
      </w:r>
    </w:p>
    <w:p w:rsidR="007107ED" w:rsidRPr="007107ED" w:rsidRDefault="007107ED" w:rsidP="007107ED">
      <w:pPr>
        <w:spacing w:after="0" w:line="240" w:lineRule="auto"/>
        <w:ind w:left="708"/>
        <w:jc w:val="both"/>
      </w:pPr>
    </w:p>
    <w:p w:rsidR="007107ED" w:rsidRPr="007107ED" w:rsidRDefault="007107ED" w:rsidP="007107ED">
      <w:pPr>
        <w:numPr>
          <w:ilvl w:val="0"/>
          <w:numId w:val="14"/>
        </w:numPr>
        <w:spacing w:after="0" w:line="240" w:lineRule="auto"/>
        <w:jc w:val="both"/>
      </w:pPr>
      <w:r w:rsidRPr="007107ED">
        <w:t xml:space="preserve"> Catégorie 2 : Embouts de pipettes et pointes filtres</w:t>
      </w:r>
    </w:p>
    <w:p w:rsidR="007107ED" w:rsidRDefault="007107ED" w:rsidP="00477032">
      <w:pPr>
        <w:spacing w:after="0"/>
        <w:ind w:left="708"/>
        <w:jc w:val="both"/>
      </w:pPr>
      <w:r w:rsidRPr="007107ED">
        <w:t>Ce</w:t>
      </w:r>
      <w:r w:rsidR="00CC4D1D">
        <w:t>tte catégorie</w:t>
      </w:r>
      <w:r w:rsidRPr="007107ED">
        <w:t xml:space="preserve"> concerne la fourniture d'embouts de pipettes et de pointes filtres stériles et non stériles et de combitips.</w:t>
      </w:r>
    </w:p>
    <w:p w:rsidR="00477032" w:rsidRDefault="00477032" w:rsidP="00477032">
      <w:pPr>
        <w:spacing w:after="0"/>
        <w:ind w:left="708"/>
        <w:jc w:val="both"/>
      </w:pPr>
      <w:r>
        <w:t xml:space="preserve">Montant estimé : </w:t>
      </w:r>
      <w:r w:rsidR="00CC4D1D">
        <w:t xml:space="preserve">300 000 € </w:t>
      </w:r>
      <w:r w:rsidR="008A7D5B">
        <w:t xml:space="preserve">HT </w:t>
      </w:r>
      <w:r w:rsidR="00CC4D1D">
        <w:t>an.</w:t>
      </w:r>
    </w:p>
    <w:p w:rsidR="00477032" w:rsidRPr="007107ED" w:rsidRDefault="00477032" w:rsidP="00477032">
      <w:pPr>
        <w:spacing w:after="0"/>
        <w:ind w:left="708"/>
        <w:jc w:val="both"/>
      </w:pPr>
    </w:p>
    <w:p w:rsidR="007107ED" w:rsidRPr="007107ED" w:rsidRDefault="007107ED" w:rsidP="007107ED">
      <w:pPr>
        <w:numPr>
          <w:ilvl w:val="0"/>
          <w:numId w:val="14"/>
        </w:numPr>
        <w:spacing w:after="0" w:line="240" w:lineRule="auto"/>
        <w:jc w:val="both"/>
      </w:pPr>
      <w:r w:rsidRPr="007107ED">
        <w:t>Catégorie 3 : Milieux de culture pour la culture cellulaire</w:t>
      </w:r>
    </w:p>
    <w:p w:rsidR="007107ED" w:rsidRDefault="007107ED" w:rsidP="007107ED">
      <w:pPr>
        <w:spacing w:after="0" w:line="240" w:lineRule="auto"/>
        <w:ind w:left="708"/>
        <w:jc w:val="both"/>
      </w:pPr>
      <w:r w:rsidRPr="007107ED">
        <w:t>Ce</w:t>
      </w:r>
      <w:r w:rsidR="00CC4D1D">
        <w:t>tte catégorie</w:t>
      </w:r>
      <w:r w:rsidRPr="007107ED">
        <w:t xml:space="preserve"> concerne la fourniture de milieux de culture utilisés en culture cellulaire hors cultures bactériennes.</w:t>
      </w:r>
    </w:p>
    <w:p w:rsidR="00477032" w:rsidRDefault="00477032" w:rsidP="007107ED">
      <w:pPr>
        <w:spacing w:after="0" w:line="240" w:lineRule="auto"/>
        <w:ind w:left="708"/>
        <w:jc w:val="both"/>
      </w:pPr>
      <w:r>
        <w:t>Montant estimé</w:t>
      </w:r>
      <w:r w:rsidR="00CC4D1D">
        <w:t xml:space="preserve"> : 200 000 </w:t>
      </w:r>
      <w:r w:rsidR="008A7D5B">
        <w:t xml:space="preserve">€ HT </w:t>
      </w:r>
      <w:r w:rsidR="00CC4D1D">
        <w:t xml:space="preserve">an. </w:t>
      </w:r>
    </w:p>
    <w:p w:rsidR="00CC4D1D" w:rsidRDefault="00CC4D1D" w:rsidP="00CC4D1D">
      <w:pPr>
        <w:spacing w:after="0" w:line="240" w:lineRule="auto"/>
        <w:jc w:val="both"/>
      </w:pPr>
    </w:p>
    <w:p w:rsidR="00CC4D1D" w:rsidRPr="007107ED" w:rsidRDefault="00CC4D1D" w:rsidP="00CC4D1D">
      <w:pPr>
        <w:spacing w:after="0" w:line="240" w:lineRule="auto"/>
        <w:jc w:val="both"/>
      </w:pPr>
      <w:r>
        <w:t xml:space="preserve">Le montant estimatif du système d’acquisition dynamique pour toute sa durée s’élève à 4 000 000 000 €. </w:t>
      </w:r>
    </w:p>
    <w:p w:rsidR="00477032" w:rsidRDefault="00477032" w:rsidP="00477032">
      <w:pPr>
        <w:jc w:val="both"/>
      </w:pPr>
    </w:p>
    <w:p w:rsidR="002D5C04" w:rsidRDefault="002D5C04" w:rsidP="0047417F">
      <w:pPr>
        <w:pStyle w:val="Titre2"/>
        <w:jc w:val="both"/>
      </w:pPr>
      <w:bookmarkStart w:id="8" w:name="_Toc90540074"/>
      <w:r>
        <w:t>II.3 Durée du SAD</w:t>
      </w:r>
      <w:bookmarkEnd w:id="8"/>
    </w:p>
    <w:p w:rsidR="002D5C04" w:rsidRDefault="002D5C04" w:rsidP="0047417F">
      <w:pPr>
        <w:jc w:val="both"/>
      </w:pPr>
      <w:r>
        <w:t>La durée du Système d'Acquisition Dynamique court à compter de sa publication.</w:t>
      </w:r>
    </w:p>
    <w:p w:rsidR="002D5C04" w:rsidRDefault="002D5C04" w:rsidP="0047417F">
      <w:pPr>
        <w:jc w:val="both"/>
      </w:pPr>
      <w:r>
        <w:t xml:space="preserve">Le Système d'Acquisition Dynamique est mis en place pour une durée de </w:t>
      </w:r>
      <w:r w:rsidR="007107ED">
        <w:t xml:space="preserve">quatre </w:t>
      </w:r>
      <w:r>
        <w:t xml:space="preserve"> ans. Cette durée de validité pourra être modifiée suivant les dispositions de l’article R.2162-40 du Code de la Commande Publique.</w:t>
      </w:r>
    </w:p>
    <w:p w:rsidR="002D5C04" w:rsidRDefault="002D5C04" w:rsidP="0047417F">
      <w:pPr>
        <w:jc w:val="both"/>
      </w:pPr>
      <w:r>
        <w:t xml:space="preserve">Le CHU de </w:t>
      </w:r>
      <w:r w:rsidR="007107ED">
        <w:t xml:space="preserve">ROUEN </w:t>
      </w:r>
      <w:r>
        <w:t>accorde, pendant toute la durée de validité du SAD, la possibilité à tout opérateur économique de demander à y participer. Des Marchés spécifiques peuvent être passés pendant toute la durée de validité du SAD.</w:t>
      </w:r>
    </w:p>
    <w:p w:rsidR="002D5C04" w:rsidRDefault="002D5C04" w:rsidP="0047417F">
      <w:pPr>
        <w:jc w:val="both"/>
      </w:pPr>
      <w:r>
        <w:t xml:space="preserve">L’attention des opérateurs économiques est toutefois attirée sur le fait que, conformément aux dispositions de l’article R. 2162-45 du Code, le CHU de </w:t>
      </w:r>
      <w:r w:rsidR="0047417F">
        <w:t xml:space="preserve">Rouen </w:t>
      </w:r>
      <w:r>
        <w:t xml:space="preserve">ne peut examiner aucun dossier de candidature déposé moins de 10 jours ouvrables avant la date de fin de validité du </w:t>
      </w:r>
      <w:r w:rsidRPr="00CC4D1D">
        <w:t>SAD</w:t>
      </w:r>
      <w:r w:rsidR="00215E01">
        <w:t>.</w:t>
      </w:r>
    </w:p>
    <w:p w:rsidR="002D5C04" w:rsidRDefault="002D5C04" w:rsidP="0047417F">
      <w:pPr>
        <w:jc w:val="both"/>
      </w:pPr>
      <w:r>
        <w:t>Il peut être mis fin</w:t>
      </w:r>
      <w:r w:rsidR="0047417F">
        <w:t xml:space="preserve"> au SAD sur décision du CHU de Rouen Normandie</w:t>
      </w:r>
      <w:r>
        <w:t>. Cette décision est notifiée aux candidats admis et n’emporte pas de conséquence sur les Marchés spécifiques en cours d’exécution.</w:t>
      </w:r>
    </w:p>
    <w:p w:rsidR="002D5C04" w:rsidRDefault="002D5C04" w:rsidP="0047417F">
      <w:pPr>
        <w:jc w:val="both"/>
      </w:pPr>
      <w:r>
        <w:t xml:space="preserve">Conformément à l’article R. 2162-40 du Code, en cas de fin anticipée du SAD, un avis d’attribution est publié par le CHU de </w:t>
      </w:r>
      <w:r w:rsidR="0047417F">
        <w:t>Rouen Normandie</w:t>
      </w:r>
      <w:r>
        <w:t>.</w:t>
      </w:r>
    </w:p>
    <w:p w:rsidR="002D5C04" w:rsidRDefault="002D5C04" w:rsidP="0047417F">
      <w:pPr>
        <w:jc w:val="both"/>
      </w:pPr>
      <w:r>
        <w:t>La fin anticipée du SAD n’ouvre droit à aucune indemnité, de quelque nature que ce soit.</w:t>
      </w:r>
    </w:p>
    <w:p w:rsidR="00CC4D1D" w:rsidRPr="00CC4D1D" w:rsidRDefault="002D5C04" w:rsidP="00CC4D1D">
      <w:pPr>
        <w:pStyle w:val="Titre2"/>
        <w:jc w:val="both"/>
      </w:pPr>
      <w:bookmarkStart w:id="9" w:name="_Toc90540075"/>
      <w:r>
        <w:t>II.4 Lieu d’exécution ou lieu de livraison</w:t>
      </w:r>
      <w:bookmarkEnd w:id="9"/>
    </w:p>
    <w:p w:rsidR="002D5C04" w:rsidRDefault="0047417F" w:rsidP="0047417F">
      <w:pPr>
        <w:jc w:val="both"/>
      </w:pPr>
      <w:r w:rsidRPr="00215E01">
        <w:t>Voir</w:t>
      </w:r>
      <w:r w:rsidR="00CC4D1D" w:rsidRPr="00215E01">
        <w:t xml:space="preserve"> article 1 </w:t>
      </w:r>
      <w:r w:rsidR="002D5C04" w:rsidRPr="00215E01">
        <w:t>du CCATP "Livraison et facturation"</w:t>
      </w:r>
      <w:r w:rsidRPr="00215E01">
        <w:t>.</w:t>
      </w:r>
    </w:p>
    <w:p w:rsidR="0047417F" w:rsidRDefault="0047417F" w:rsidP="0047417F">
      <w:pPr>
        <w:jc w:val="both"/>
      </w:pPr>
    </w:p>
    <w:p w:rsidR="00215E01" w:rsidRDefault="00215E01" w:rsidP="0047417F">
      <w:pPr>
        <w:jc w:val="both"/>
      </w:pPr>
    </w:p>
    <w:p w:rsidR="002D5C04" w:rsidRDefault="002D5C04" w:rsidP="0047417F">
      <w:pPr>
        <w:pStyle w:val="Titre1"/>
        <w:jc w:val="both"/>
      </w:pPr>
      <w:bookmarkStart w:id="10" w:name="_Toc90540076"/>
      <w:r>
        <w:lastRenderedPageBreak/>
        <w:t xml:space="preserve">ARTICLE III – </w:t>
      </w:r>
      <w:bookmarkStart w:id="11" w:name="_GoBack"/>
      <w:bookmarkEnd w:id="11"/>
      <w:r>
        <w:t>MODALITES DE LA CONSULTATION</w:t>
      </w:r>
      <w:bookmarkEnd w:id="10"/>
    </w:p>
    <w:p w:rsidR="0047417F" w:rsidRPr="0047417F" w:rsidRDefault="0047417F" w:rsidP="0047417F"/>
    <w:p w:rsidR="002D5C04" w:rsidRDefault="002D5C04" w:rsidP="0047417F">
      <w:pPr>
        <w:pStyle w:val="Titre2"/>
        <w:jc w:val="both"/>
      </w:pPr>
      <w:bookmarkStart w:id="12" w:name="_Toc90540077"/>
      <w:r>
        <w:t>III.1 Contenu du dossier de consultation</w:t>
      </w:r>
      <w:bookmarkEnd w:id="12"/>
    </w:p>
    <w:p w:rsidR="002D5C04" w:rsidRDefault="002D5C04" w:rsidP="0047417F">
      <w:pPr>
        <w:pStyle w:val="Paragraphedeliste"/>
        <w:numPr>
          <w:ilvl w:val="0"/>
          <w:numId w:val="3"/>
        </w:numPr>
        <w:jc w:val="both"/>
      </w:pPr>
      <w:r>
        <w:t>La lettre de candidature (formulaire DC1),</w:t>
      </w:r>
    </w:p>
    <w:p w:rsidR="002D5C04" w:rsidRDefault="002D5C04" w:rsidP="0047417F">
      <w:pPr>
        <w:pStyle w:val="Paragraphedeliste"/>
        <w:numPr>
          <w:ilvl w:val="0"/>
          <w:numId w:val="3"/>
        </w:numPr>
        <w:jc w:val="both"/>
      </w:pPr>
      <w:r>
        <w:t>La déclaration du candidat (formulaire DC2),</w:t>
      </w:r>
    </w:p>
    <w:p w:rsidR="002D5C04" w:rsidRDefault="002D5C04" w:rsidP="0047417F">
      <w:pPr>
        <w:pStyle w:val="Paragraphedeliste"/>
        <w:numPr>
          <w:ilvl w:val="0"/>
          <w:numId w:val="3"/>
        </w:numPr>
        <w:jc w:val="both"/>
      </w:pPr>
      <w:r>
        <w:t>Le présent Règlement de consultation et son annexe : Candidature par catégorie</w:t>
      </w:r>
    </w:p>
    <w:p w:rsidR="002D5C04" w:rsidRDefault="002D5C04" w:rsidP="0047417F">
      <w:pPr>
        <w:pStyle w:val="Paragraphedeliste"/>
        <w:numPr>
          <w:ilvl w:val="0"/>
          <w:numId w:val="3"/>
        </w:numPr>
        <w:jc w:val="both"/>
      </w:pPr>
      <w:r>
        <w:t>Le cahier des clauses particulières (CCATP</w:t>
      </w:r>
      <w:r w:rsidR="00B5670B">
        <w:t>)</w:t>
      </w:r>
    </w:p>
    <w:p w:rsidR="002D5C04" w:rsidRDefault="002D5C04" w:rsidP="0047417F">
      <w:pPr>
        <w:jc w:val="both"/>
      </w:pPr>
      <w:r>
        <w:t>Lors de la passation des marchés spécifiques, des adaptations peuvent être apportées au projet de CCATP et à ses annexes.</w:t>
      </w:r>
    </w:p>
    <w:p w:rsidR="002D5C04" w:rsidRDefault="002D5C04" w:rsidP="0047417F">
      <w:pPr>
        <w:jc w:val="both"/>
      </w:pPr>
      <w:r>
        <w:t xml:space="preserve">Le CHU de </w:t>
      </w:r>
      <w:r w:rsidR="0047417F">
        <w:t xml:space="preserve">Rouen Normandie </w:t>
      </w:r>
      <w:r>
        <w:t>se réserve la possibilité d'apporter au plus tard 6 jours calendaires avant la date limite fixée pour la remise des candidatures, des modifications au dossier de consultation. Le délai de remise des candidatures sera éventuellement revu en conséquence.</w:t>
      </w:r>
    </w:p>
    <w:p w:rsidR="002D5C04" w:rsidRDefault="002D5C04" w:rsidP="0047417F">
      <w:pPr>
        <w:jc w:val="both"/>
      </w:pPr>
      <w:r>
        <w:t>Les candidats devront alors répondre sur la base du dossier modifié, sans pouvoir élever aucune réclamation à ce sujet.</w:t>
      </w:r>
    </w:p>
    <w:p w:rsidR="0047417F" w:rsidRDefault="0047417F" w:rsidP="0047417F">
      <w:pPr>
        <w:jc w:val="both"/>
      </w:pPr>
    </w:p>
    <w:p w:rsidR="002D5C04" w:rsidRDefault="002D5C04" w:rsidP="0047417F">
      <w:pPr>
        <w:pStyle w:val="Titre2"/>
        <w:jc w:val="both"/>
      </w:pPr>
      <w:bookmarkStart w:id="13" w:name="_Toc90540078"/>
      <w:r>
        <w:t>III.2 Mise à disposition des documents de la consultation, communications et échanges d’informations par voie électronique</w:t>
      </w:r>
      <w:bookmarkEnd w:id="13"/>
    </w:p>
    <w:p w:rsidR="0047417F" w:rsidRDefault="002D5C04" w:rsidP="0047417F">
      <w:pPr>
        <w:jc w:val="both"/>
      </w:pPr>
      <w:r>
        <w:t xml:space="preserve">Le dossier de la consultation est mis, gratuitement, à disposition à l’adresse suivante : </w:t>
      </w:r>
    </w:p>
    <w:p w:rsidR="00FC4901" w:rsidRDefault="00215E01" w:rsidP="0047417F">
      <w:pPr>
        <w:jc w:val="both"/>
      </w:pPr>
      <w:hyperlink r:id="rId11" w:history="1">
        <w:r w:rsidR="00FC4901" w:rsidRPr="00243A75">
          <w:rPr>
            <w:rStyle w:val="Lienhypertexte"/>
          </w:rPr>
          <w:t>https://www.marches-publics.gouv.fr</w:t>
        </w:r>
      </w:hyperlink>
      <w:r w:rsidR="00FC4901">
        <w:t xml:space="preserve">  </w:t>
      </w:r>
    </w:p>
    <w:p w:rsidR="002D5C04" w:rsidRPr="0047417F" w:rsidRDefault="002D5C04" w:rsidP="0047417F">
      <w:pPr>
        <w:jc w:val="both"/>
        <w:rPr>
          <w:b/>
          <w:color w:val="FF0000"/>
        </w:rPr>
      </w:pPr>
      <w:r w:rsidRPr="0047417F">
        <w:rPr>
          <w:b/>
          <w:color w:val="FF0000"/>
        </w:rPr>
        <w:t>Il est recommandé aux candidats de s’identifier (adresse mail de référence) afin d’être tenus informés des modifications et des précisions éventuellement apportées au dossier de consultation.</w:t>
      </w:r>
    </w:p>
    <w:p w:rsidR="002D5C04" w:rsidRDefault="002D5C04" w:rsidP="0047417F">
      <w:pPr>
        <w:jc w:val="both"/>
      </w:pPr>
      <w:r>
        <w:t xml:space="preserve">A défaut d’identification, il appartiendra aux opérateurs économiques de prendre connaissance par leurs propres moyens des informations, modifications et/ou précisions complémentaires éventuellement apportées aux documents de la consultation. La responsabilité du CHU de </w:t>
      </w:r>
      <w:r w:rsidR="0047417F">
        <w:t>Rouen Normandie</w:t>
      </w:r>
      <w:r>
        <w:t xml:space="preserve"> ne saurait être engagée en l’absence de prise de connaissance de ces informations complémentaires par les opérateurs économiques (et de prise en compte de celles-ci dans les dossiers de candidature et/ou d’offre).</w:t>
      </w:r>
    </w:p>
    <w:p w:rsidR="002D5C04" w:rsidRDefault="002D5C04" w:rsidP="0047417F">
      <w:pPr>
        <w:jc w:val="both"/>
      </w:pPr>
      <w:r>
        <w:t>Le mode de transmission par voie électronique est obligatoire pour l’ensemble des échanges (présentation des candidatures et des offres, demandes de régularisation ou de précision éventuelle, …).</w:t>
      </w:r>
    </w:p>
    <w:p w:rsidR="002D5C04" w:rsidRDefault="002D5C04" w:rsidP="0047417F">
      <w:pPr>
        <w:pStyle w:val="Titre1"/>
        <w:jc w:val="both"/>
      </w:pPr>
      <w:bookmarkStart w:id="14" w:name="_Toc90540079"/>
      <w:r>
        <w:t>ARTICLE IV - CONDITIONS DE REMISE DES CANDIDATURES</w:t>
      </w:r>
      <w:bookmarkEnd w:id="14"/>
    </w:p>
    <w:p w:rsidR="0047417F" w:rsidRPr="0047417F" w:rsidRDefault="0047417F" w:rsidP="0047417F"/>
    <w:p w:rsidR="002D5C04" w:rsidRDefault="002D5C04" w:rsidP="0047417F">
      <w:pPr>
        <w:pStyle w:val="Titre2"/>
        <w:jc w:val="both"/>
      </w:pPr>
      <w:bookmarkStart w:id="15" w:name="_Toc90540080"/>
      <w:r>
        <w:t>IV.1 Date et heure limites de réception des plis</w:t>
      </w:r>
      <w:bookmarkEnd w:id="15"/>
    </w:p>
    <w:p w:rsidR="002D5C04" w:rsidRDefault="002D5C04" w:rsidP="0047417F">
      <w:pPr>
        <w:jc w:val="both"/>
      </w:pPr>
      <w:r>
        <w:t>Les candidatures peuvent être adressées pendant toute la durée du système d’acquisition dynamique. En revanche, seules les candidatures acceptées à la date du lancement de chaque marché spécifique seront invitées à remettre une offre.</w:t>
      </w:r>
    </w:p>
    <w:p w:rsidR="002D5C04" w:rsidRDefault="002D5C04" w:rsidP="0047417F">
      <w:pPr>
        <w:pStyle w:val="Titre2"/>
        <w:jc w:val="both"/>
      </w:pPr>
      <w:bookmarkStart w:id="16" w:name="_Toc90540081"/>
      <w:r>
        <w:lastRenderedPageBreak/>
        <w:t>IV. 2 Contenu de la candidature</w:t>
      </w:r>
      <w:bookmarkEnd w:id="16"/>
    </w:p>
    <w:p w:rsidR="002D5C04" w:rsidRDefault="002D5C04" w:rsidP="0047417F">
      <w:pPr>
        <w:jc w:val="both"/>
      </w:pPr>
      <w:r>
        <w:t>Chaque opérateur économique doit produire un dossier de candidature comprenant l’ensemble des pièces visées ci-dessous. Ces documents n’ont pas à être obligatoirement signés, seuls les marchés spécifiques seront signés à l’issue de la procédure d’attribution.</w:t>
      </w:r>
    </w:p>
    <w:p w:rsidR="002D5C04" w:rsidRDefault="002D5C04" w:rsidP="0047417F">
      <w:pPr>
        <w:jc w:val="both"/>
      </w:pPr>
      <w:r>
        <w:t>NB : Les candidats sont informés qu’à tout moment, afin d’assurer le bon déroulement de la procédure, le pouvoir adjudicateur peut demander à un candidat de fournir tout ou partie des certificats et documents justificatifs requis, si ceux-ci n’ont pas été fourni lors du dépôt.</w:t>
      </w:r>
    </w:p>
    <w:p w:rsidR="002D5C04" w:rsidRPr="0047417F" w:rsidRDefault="002D5C04" w:rsidP="0047417F">
      <w:pPr>
        <w:jc w:val="both"/>
        <w:rPr>
          <w:b/>
          <w:color w:val="FF0000"/>
        </w:rPr>
      </w:pPr>
      <w:r w:rsidRPr="0047417F">
        <w:rPr>
          <w:b/>
          <w:color w:val="FF0000"/>
        </w:rPr>
        <w:t>L’utilisation en ligne du DUME est fortement préconisée mais le candidat peut répondre en candidature classique.</w:t>
      </w:r>
    </w:p>
    <w:p w:rsidR="0047417F" w:rsidRPr="0047417F" w:rsidRDefault="002D5C04" w:rsidP="0047417F">
      <w:pPr>
        <w:pStyle w:val="Paragraphedeliste"/>
        <w:numPr>
          <w:ilvl w:val="0"/>
          <w:numId w:val="3"/>
        </w:numPr>
        <w:jc w:val="both"/>
        <w:rPr>
          <w:u w:val="single"/>
        </w:rPr>
      </w:pPr>
      <w:r w:rsidRPr="0047417F">
        <w:rPr>
          <w:u w:val="single"/>
        </w:rPr>
        <w:t>DOCUMENT UNIQUE DE MARCHE EUROPEEN (DUME) :</w:t>
      </w:r>
    </w:p>
    <w:p w:rsidR="002D5C04" w:rsidRDefault="002D5C04" w:rsidP="0047417F">
      <w:pPr>
        <w:jc w:val="both"/>
      </w:pPr>
      <w:r>
        <w:t>Le DUME est une déclaration sur l’honneur sur la base d’un formulaire type établi par la Commission européenne dans le cadre du principe du « dites-le nous une fois » qui peut être utilisé en lieu et place des documents mentionnés ci-dessous.</w:t>
      </w:r>
    </w:p>
    <w:p w:rsidR="002D5C04" w:rsidRDefault="002D5C04" w:rsidP="0047417F">
      <w:pPr>
        <w:jc w:val="both"/>
      </w:pPr>
      <w:r>
        <w:t>Ce formulaire est à renseigner sur la plateforme des achats de l’Etat (</w:t>
      </w:r>
      <w:r w:rsidR="0047417F">
        <w:t xml:space="preserve"> </w:t>
      </w:r>
      <w:r>
        <w:t xml:space="preserve">cf. guide d’utilisation : </w:t>
      </w:r>
      <w:hyperlink r:id="rId12" w:history="1">
        <w:r w:rsidR="0047417F" w:rsidRPr="00E7614B">
          <w:rPr>
            <w:rStyle w:val="Lienhypertexte"/>
          </w:rPr>
          <w:t>https://www.marches-publics.gouv.fr/?page=entreprise.EntrepriseGuide&amp;Aide</w:t>
        </w:r>
      </w:hyperlink>
      <w:r w:rsidR="0047417F">
        <w:t xml:space="preserve"> </w:t>
      </w:r>
      <w:r>
        <w:t>). En cas de co-traitance, se reporter au même guide d’utilisation.</w:t>
      </w:r>
    </w:p>
    <w:p w:rsidR="002D5C04" w:rsidRPr="0047417F" w:rsidRDefault="002D5C04" w:rsidP="0047417F">
      <w:pPr>
        <w:pStyle w:val="Paragraphedeliste"/>
        <w:numPr>
          <w:ilvl w:val="0"/>
          <w:numId w:val="3"/>
        </w:numPr>
        <w:jc w:val="both"/>
        <w:rPr>
          <w:u w:val="single"/>
        </w:rPr>
      </w:pPr>
      <w:r w:rsidRPr="0047417F">
        <w:rPr>
          <w:u w:val="single"/>
        </w:rPr>
        <w:t>DOCUMENTS DE LA CANDIDATURE CLASSIQUE :</w:t>
      </w:r>
    </w:p>
    <w:p w:rsidR="002D5C04" w:rsidRDefault="002D5C04" w:rsidP="0047417F">
      <w:pPr>
        <w:pStyle w:val="Paragraphedeliste"/>
        <w:numPr>
          <w:ilvl w:val="0"/>
          <w:numId w:val="10"/>
        </w:numPr>
        <w:jc w:val="both"/>
      </w:pPr>
      <w:r>
        <w:t>La lettre de candidature et désignation du mandataire par ses cotraitants (formulaire DC1 ou format libre), dûment complétée par le candidat et par chacun des cotraitants en cas de groupement, précisant :</w:t>
      </w:r>
    </w:p>
    <w:p w:rsidR="002D5C04" w:rsidRDefault="002D5C04" w:rsidP="0047417F">
      <w:pPr>
        <w:pStyle w:val="Paragraphedeliste"/>
        <w:numPr>
          <w:ilvl w:val="2"/>
          <w:numId w:val="8"/>
        </w:numPr>
        <w:jc w:val="both"/>
      </w:pPr>
      <w:r>
        <w:t>L'objet de la candidature,</w:t>
      </w:r>
    </w:p>
    <w:p w:rsidR="002D5C04" w:rsidRDefault="002D5C04" w:rsidP="0047417F">
      <w:pPr>
        <w:pStyle w:val="Paragraphedeliste"/>
        <w:numPr>
          <w:ilvl w:val="2"/>
          <w:numId w:val="8"/>
        </w:numPr>
        <w:jc w:val="both"/>
      </w:pPr>
      <w:r>
        <w:t>La dénomination sociale du candidat, son adresse et ses coordonnées (téléphone, fax, courriel),</w:t>
      </w:r>
    </w:p>
    <w:p w:rsidR="002D5C04" w:rsidRDefault="002D5C04" w:rsidP="0047417F">
      <w:pPr>
        <w:pStyle w:val="Paragraphedeliste"/>
        <w:numPr>
          <w:ilvl w:val="2"/>
          <w:numId w:val="8"/>
        </w:numPr>
        <w:jc w:val="both"/>
      </w:pPr>
      <w:r>
        <w:t>Si le candidat se présente seul ou en groupement, dans ce dernier cas préciser la forme du groupement, désignation des membres du groupement et habilitation donnée au mandataire,</w:t>
      </w:r>
    </w:p>
    <w:p w:rsidR="002D5C04" w:rsidRDefault="002D5C04" w:rsidP="0047417F">
      <w:pPr>
        <w:pStyle w:val="Paragraphedeliste"/>
        <w:numPr>
          <w:ilvl w:val="2"/>
          <w:numId w:val="8"/>
        </w:numPr>
        <w:jc w:val="both"/>
      </w:pPr>
      <w:r>
        <w:t>La déclaration sur l’honneur pour justifier qu’il n’entre dans aucun des cas mentionnés aux articles L.2141-1 à L.2141-5 et L.2141-7 à L.2141-11 du Code de la Commande publique et notamment qu’il est en règles des articles L.5212-1 à L.5212-11 du code du travail concernant l’emploi des travailleurs handicapés.</w:t>
      </w:r>
    </w:p>
    <w:p w:rsidR="00B5670B" w:rsidRDefault="00B5670B" w:rsidP="0047417F">
      <w:pPr>
        <w:pStyle w:val="Paragraphedeliste"/>
        <w:numPr>
          <w:ilvl w:val="2"/>
          <w:numId w:val="8"/>
        </w:numPr>
        <w:jc w:val="both"/>
      </w:pPr>
      <w:r>
        <w:t>Les catégories sur lequel l’opérateur économique candidate.</w:t>
      </w:r>
    </w:p>
    <w:p w:rsidR="002D5C04" w:rsidRDefault="002D5C04" w:rsidP="0047417F">
      <w:pPr>
        <w:pStyle w:val="Paragraphedeliste"/>
        <w:numPr>
          <w:ilvl w:val="0"/>
          <w:numId w:val="10"/>
        </w:numPr>
        <w:jc w:val="both"/>
      </w:pPr>
      <w:r>
        <w:t>Les renseignements pour chaque candidat unique ou pour chaque membre du groupement permettant d’apprécier que le candidat dispose de l’aptitude à exercer l’activité professionnelle, de la capacité économique et financière et des capacités techniques et professionnelles nécessaires à l’exécution du marché (formulaire Dc2 ou format libre) :</w:t>
      </w:r>
    </w:p>
    <w:p w:rsidR="002D5C04" w:rsidRDefault="002D5C04" w:rsidP="0047417F">
      <w:pPr>
        <w:pStyle w:val="Paragraphedeliste"/>
        <w:numPr>
          <w:ilvl w:val="2"/>
          <w:numId w:val="11"/>
        </w:numPr>
        <w:jc w:val="both"/>
      </w:pPr>
      <w:r>
        <w:t>déclaration concernant le chiffre d'affaires global et le chiffre d'affaires du domaine d’activité par catégorie du SAD, réalisés au cours des trois derniers exercices disponibles en fonction de la date de création de l’entreprise ou du début d’activité de l’opérateur économique dans la mesure où les informations sont disponibles ;</w:t>
      </w:r>
    </w:p>
    <w:p w:rsidR="002D5C04" w:rsidRDefault="002D5C04" w:rsidP="0047417F">
      <w:pPr>
        <w:pStyle w:val="Paragraphedeliste"/>
        <w:numPr>
          <w:ilvl w:val="2"/>
          <w:numId w:val="11"/>
        </w:numPr>
        <w:jc w:val="both"/>
      </w:pPr>
      <w:r>
        <w:lastRenderedPageBreak/>
        <w:t>déclaration indiquant les effectifs moyens annuels du candidat et l'importance du personnel d'encadrement pour chacune des trois dernières années ;</w:t>
      </w:r>
    </w:p>
    <w:p w:rsidR="002D5C04" w:rsidRDefault="002D5C04" w:rsidP="0047417F">
      <w:pPr>
        <w:pStyle w:val="Paragraphedeliste"/>
        <w:numPr>
          <w:ilvl w:val="2"/>
          <w:numId w:val="11"/>
        </w:numPr>
        <w:jc w:val="both"/>
      </w:pPr>
      <w:r>
        <w:t>présentation de la liste des principales livraisons effectuées au cours des 3 dernières années en rapport avec les catégories du SAD, indiquant le destinataire privé ou public (indiquer les noms et coordonnées téléphoniques des personnes à contacter éventuellement); Les livraisons sont prouvées par des attestations du destinataire ou, à défaut, par une déclaration de l'opérateur économique ;</w:t>
      </w:r>
    </w:p>
    <w:p w:rsidR="0047417F" w:rsidRDefault="0047417F" w:rsidP="0047417F">
      <w:pPr>
        <w:pStyle w:val="Paragraphedeliste"/>
        <w:ind w:left="2160"/>
        <w:jc w:val="both"/>
      </w:pPr>
    </w:p>
    <w:p w:rsidR="002D5C04" w:rsidRDefault="002D5C04" w:rsidP="0047417F">
      <w:pPr>
        <w:pStyle w:val="Titre2"/>
        <w:jc w:val="both"/>
      </w:pPr>
      <w:bookmarkStart w:id="17" w:name="_Toc90540082"/>
      <w:r>
        <w:t>IV.3 Forme juridique du candidat</w:t>
      </w:r>
      <w:bookmarkEnd w:id="17"/>
    </w:p>
    <w:p w:rsidR="002D5C04" w:rsidRDefault="002D5C04" w:rsidP="0047417F">
      <w:pPr>
        <w:jc w:val="both"/>
      </w:pPr>
      <w:r>
        <w:t>Les groupements d’opérateurs économiques sont autorisés à participer à la procédure. Chaque membre doit fournir les documents administratifs exigé à l’article IV.2 du présent Règlement de la consultation.</w:t>
      </w:r>
    </w:p>
    <w:p w:rsidR="002D5C04" w:rsidRDefault="002D5C04" w:rsidP="0047417F">
      <w:pPr>
        <w:jc w:val="both"/>
      </w:pPr>
      <w:r>
        <w:t>Possibilité de présenter pour le(s) marché(s) plusieurs offres en agissant à la fois :</w:t>
      </w:r>
    </w:p>
    <w:p w:rsidR="002D5C04" w:rsidRDefault="002D5C04" w:rsidP="0047417F">
      <w:pPr>
        <w:pStyle w:val="Paragraphedeliste"/>
        <w:numPr>
          <w:ilvl w:val="0"/>
          <w:numId w:val="12"/>
        </w:numPr>
        <w:jc w:val="both"/>
      </w:pPr>
      <w:r>
        <w:t xml:space="preserve">En qualité de candidats individuels et de membres d'un ou plusieurs groupements : </w:t>
      </w:r>
      <w:r w:rsidRPr="0047417F">
        <w:rPr>
          <w:rFonts w:ascii="Segoe UI Symbol" w:hAnsi="Segoe UI Symbol" w:cs="Segoe UI Symbol"/>
        </w:rPr>
        <w:t>☒</w:t>
      </w:r>
      <w:r>
        <w:t xml:space="preserve">oui </w:t>
      </w:r>
      <w:r w:rsidRPr="0047417F">
        <w:rPr>
          <w:rFonts w:ascii="Segoe UI Symbol" w:hAnsi="Segoe UI Symbol" w:cs="Segoe UI Symbol"/>
        </w:rPr>
        <w:t>☐</w:t>
      </w:r>
      <w:r>
        <w:t xml:space="preserve"> non</w:t>
      </w:r>
    </w:p>
    <w:p w:rsidR="002D5C04" w:rsidRDefault="002D5C04" w:rsidP="0047417F">
      <w:pPr>
        <w:pStyle w:val="Paragraphedeliste"/>
        <w:numPr>
          <w:ilvl w:val="0"/>
          <w:numId w:val="12"/>
        </w:numPr>
        <w:jc w:val="both"/>
      </w:pPr>
      <w:r>
        <w:t xml:space="preserve">En qualité de membres de plusieurs groupements : </w:t>
      </w:r>
      <w:r w:rsidRPr="0047417F">
        <w:rPr>
          <w:rFonts w:ascii="Segoe UI Symbol" w:hAnsi="Segoe UI Symbol" w:cs="Segoe UI Symbol"/>
        </w:rPr>
        <w:t>☒</w:t>
      </w:r>
      <w:r>
        <w:t xml:space="preserve">oui </w:t>
      </w:r>
      <w:r w:rsidRPr="0047417F">
        <w:rPr>
          <w:rFonts w:ascii="Segoe UI Symbol" w:hAnsi="Segoe UI Symbol" w:cs="Segoe UI Symbol"/>
        </w:rPr>
        <w:t>☐</w:t>
      </w:r>
      <w:r>
        <w:t xml:space="preserve"> non</w:t>
      </w:r>
    </w:p>
    <w:p w:rsidR="002D5C04" w:rsidRDefault="002D5C04" w:rsidP="0047417F">
      <w:pPr>
        <w:jc w:val="center"/>
      </w:pPr>
      <w:r>
        <w:t xml:space="preserve">Forme juridique imposée aux groupements d’opérateurs économiques après attribution du marché : </w:t>
      </w:r>
      <w:r>
        <w:rPr>
          <w:rFonts w:ascii="Segoe UI Symbol" w:hAnsi="Segoe UI Symbol" w:cs="Segoe UI Symbol"/>
        </w:rPr>
        <w:t>☐</w:t>
      </w:r>
      <w:r>
        <w:t xml:space="preserve">oui </w:t>
      </w:r>
      <w:r>
        <w:rPr>
          <w:rFonts w:ascii="Segoe UI Symbol" w:hAnsi="Segoe UI Symbol" w:cs="Segoe UI Symbol"/>
        </w:rPr>
        <w:t>☒</w:t>
      </w:r>
      <w:r>
        <w:t>non</w:t>
      </w:r>
    </w:p>
    <w:p w:rsidR="0047417F" w:rsidRDefault="0047417F" w:rsidP="0047417F">
      <w:pPr>
        <w:jc w:val="center"/>
      </w:pPr>
    </w:p>
    <w:p w:rsidR="002D5C04" w:rsidRDefault="002D5C04" w:rsidP="0047417F">
      <w:pPr>
        <w:pStyle w:val="Titre2"/>
      </w:pPr>
      <w:bookmarkStart w:id="18" w:name="_Toc90540083"/>
      <w:r>
        <w:t>IV.4 Remise des candidatures</w:t>
      </w:r>
      <w:bookmarkEnd w:id="18"/>
    </w:p>
    <w:p w:rsidR="002D5C04" w:rsidRDefault="002D5C04" w:rsidP="0047417F">
      <w:pPr>
        <w:jc w:val="both"/>
      </w:pPr>
      <w:r>
        <w:t xml:space="preserve">Les opérateurs économiques devront obligatoirement remettre leur candidature par voie électronique et exclusivement sur le profil acheteur de l’établissement avant la date et l'heure limite de réception des offres, à l’adresse suivante : </w:t>
      </w:r>
      <w:hyperlink r:id="rId13" w:history="1">
        <w:r w:rsidR="0047417F" w:rsidRPr="00E7614B">
          <w:rPr>
            <w:rStyle w:val="Lienhypertexte"/>
          </w:rPr>
          <w:t>https://www.marches-publics.gouv.fr</w:t>
        </w:r>
      </w:hyperlink>
      <w:r w:rsidR="0047417F">
        <w:t xml:space="preserve"> </w:t>
      </w:r>
      <w:r>
        <w:t>(dite plate-forme « PLACE »). Aucune autre forme de transmission par voie électronique (ex : par courrier électronique) ne sera acceptée.</w:t>
      </w:r>
    </w:p>
    <w:p w:rsidR="0047417F" w:rsidRPr="00B5670B" w:rsidRDefault="002D5C04" w:rsidP="0047417F">
      <w:pPr>
        <w:jc w:val="both"/>
        <w:rPr>
          <w:i/>
        </w:rPr>
      </w:pPr>
      <w:r w:rsidRPr="0047417F">
        <w:rPr>
          <w:i/>
        </w:rPr>
        <w:t>NB : Avant de déposer un pli, il est recommandé de parcourir les rubriques « Aide » &amp; "Se préparer à répondre" à l’adresse : https://www.marches-publics.gouv.fr.</w:t>
      </w:r>
    </w:p>
    <w:p w:rsidR="002D5C04" w:rsidRPr="0047417F" w:rsidRDefault="002D5C04" w:rsidP="0047417F">
      <w:pPr>
        <w:jc w:val="both"/>
        <w:rPr>
          <w:b/>
        </w:rPr>
      </w:pPr>
      <w:r w:rsidRPr="0047417F">
        <w:rPr>
          <w:b/>
        </w:rPr>
        <w:t>Si une nouvelle candidature est envoyée par voie électronique par le même candidat, celle-ci annule et remplace la candidature précédente.</w:t>
      </w:r>
    </w:p>
    <w:p w:rsidR="002D5C04" w:rsidRDefault="002D5C04" w:rsidP="0047417F">
      <w:pPr>
        <w:spacing w:after="0"/>
        <w:jc w:val="both"/>
      </w:pPr>
      <w:r>
        <w:t>Copie de sauvegarde :</w:t>
      </w:r>
    </w:p>
    <w:p w:rsidR="002D5C04" w:rsidRDefault="002D5C04" w:rsidP="0047417F">
      <w:pPr>
        <w:spacing w:after="0"/>
        <w:jc w:val="both"/>
      </w:pPr>
      <w:r>
        <w:t>La copie de sauvegarde contient la candidature.</w:t>
      </w:r>
    </w:p>
    <w:p w:rsidR="0047417F" w:rsidRDefault="0047417F" w:rsidP="0047417F">
      <w:pPr>
        <w:spacing w:after="0"/>
        <w:jc w:val="both"/>
      </w:pPr>
    </w:p>
    <w:p w:rsidR="002D5C04" w:rsidRDefault="002D5C04" w:rsidP="0047417F">
      <w:pPr>
        <w:jc w:val="both"/>
      </w:pPr>
      <w: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rsidR="002D5C04" w:rsidRDefault="002D5C04" w:rsidP="0047417F">
      <w:pPr>
        <w:jc w:val="both"/>
      </w:pPr>
      <w:r>
        <w:t>La copie de sauvegarde peut être sur support physique électronique (Cd-rom, Dvd-rom, Clé USB) ou sur support papier. Cette copie est transmise sous pli scellé et comporte obligatoirement la mention lisible « copie de sauvegarde », ainsi que le nom du candidat et l'identification de la procédure concernée à l’adresse suivante :</w:t>
      </w:r>
    </w:p>
    <w:p w:rsidR="0047417F" w:rsidRPr="0047417F" w:rsidRDefault="0047417F" w:rsidP="0047417F">
      <w:pPr>
        <w:keepLines/>
        <w:widowControl w:val="0"/>
        <w:autoSpaceDE w:val="0"/>
        <w:autoSpaceDN w:val="0"/>
        <w:adjustRightInd w:val="0"/>
        <w:spacing w:before="120" w:after="0" w:line="240" w:lineRule="auto"/>
        <w:jc w:val="center"/>
        <w:rPr>
          <w:rFonts w:ascii="Calibri" w:eastAsia="Times New Roman" w:hAnsi="Calibri" w:cs="Calibri"/>
          <w:lang w:eastAsia="fr-FR"/>
        </w:rPr>
      </w:pPr>
      <w:r w:rsidRPr="0047417F">
        <w:rPr>
          <w:rFonts w:ascii="Calibri" w:eastAsia="Times New Roman" w:hAnsi="Calibri" w:cs="Calibri"/>
          <w:b/>
          <w:bCs/>
          <w:lang w:eastAsia="fr-FR"/>
        </w:rPr>
        <w:lastRenderedPageBreak/>
        <w:t>CHU Rouen Normandie</w:t>
      </w:r>
    </w:p>
    <w:p w:rsidR="0047417F" w:rsidRP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r w:rsidRPr="0047417F">
        <w:rPr>
          <w:rFonts w:ascii="Calibri" w:eastAsia="Times New Roman" w:hAnsi="Calibri" w:cs="Calibri"/>
          <w:b/>
          <w:lang w:eastAsia="fr-FR"/>
        </w:rPr>
        <w:t>Direction des Achats, de l’Hôtellerie, de la Logistique et de l’Ingénierie Biomédicale</w:t>
      </w:r>
    </w:p>
    <w:p w:rsidR="0047417F" w:rsidRP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r w:rsidRPr="0047417F">
        <w:rPr>
          <w:rFonts w:ascii="Calibri" w:eastAsia="Times New Roman" w:hAnsi="Calibri" w:cs="Calibri"/>
          <w:b/>
          <w:lang w:eastAsia="fr-FR"/>
        </w:rPr>
        <w:t>Cellule Juridique des Contrats</w:t>
      </w:r>
    </w:p>
    <w:p w:rsidR="0047417F" w:rsidRP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r w:rsidRPr="0047417F">
        <w:rPr>
          <w:rFonts w:ascii="Calibri" w:eastAsia="Times New Roman" w:hAnsi="Calibri" w:cs="Calibri"/>
          <w:b/>
          <w:lang w:eastAsia="fr-FR"/>
        </w:rPr>
        <w:t>Cour d'honneur - Porte 5 - Etage 1</w:t>
      </w:r>
    </w:p>
    <w:p w:rsidR="0047417F" w:rsidRP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r w:rsidRPr="0047417F">
        <w:rPr>
          <w:rFonts w:ascii="Calibri" w:eastAsia="Times New Roman" w:hAnsi="Calibri" w:cs="Calibri"/>
          <w:b/>
          <w:lang w:eastAsia="fr-FR"/>
        </w:rPr>
        <w:t>1 rue de Germont</w:t>
      </w:r>
    </w:p>
    <w:p w:rsid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r w:rsidRPr="0047417F">
        <w:rPr>
          <w:rFonts w:ascii="Calibri" w:eastAsia="Times New Roman" w:hAnsi="Calibri" w:cs="Calibri"/>
          <w:b/>
          <w:lang w:eastAsia="fr-FR"/>
        </w:rPr>
        <w:t>76031 ROUEN CEDEX 1</w:t>
      </w:r>
    </w:p>
    <w:p w:rsidR="0047417F" w:rsidRPr="0047417F" w:rsidRDefault="0047417F" w:rsidP="0047417F">
      <w:pPr>
        <w:keepLines/>
        <w:widowControl w:val="0"/>
        <w:autoSpaceDE w:val="0"/>
        <w:autoSpaceDN w:val="0"/>
        <w:adjustRightInd w:val="0"/>
        <w:spacing w:after="0" w:line="240" w:lineRule="auto"/>
        <w:jc w:val="center"/>
        <w:rPr>
          <w:rFonts w:ascii="Calibri" w:eastAsia="Times New Roman" w:hAnsi="Calibri" w:cs="Calibri"/>
          <w:b/>
          <w:lang w:eastAsia="fr-FR"/>
        </w:rPr>
      </w:pPr>
    </w:p>
    <w:p w:rsidR="002D5C04" w:rsidRDefault="002D5C04" w:rsidP="0047417F">
      <w:pPr>
        <w:jc w:val="both"/>
      </w:pPr>
      <w:r>
        <w:t>La copie de sauvegarde ne peut être ouverte que dans un des deux cas suivants :</w:t>
      </w:r>
    </w:p>
    <w:p w:rsidR="002D5C04" w:rsidRDefault="002D5C04" w:rsidP="0047417F">
      <w:pPr>
        <w:pStyle w:val="Paragraphedeliste"/>
        <w:numPr>
          <w:ilvl w:val="0"/>
          <w:numId w:val="3"/>
        </w:numPr>
        <w:jc w:val="both"/>
      </w:pPr>
      <w:r>
        <w:t xml:space="preserve">Lorsqu’un programme informatique malveillant </w:t>
      </w:r>
      <w:r w:rsidR="0047417F">
        <w:t>est détecté par le CHU de Rouen Normandie</w:t>
      </w:r>
      <w:r>
        <w:t xml:space="preserve"> dans les candidatures transmises par voie électronique,</w:t>
      </w:r>
    </w:p>
    <w:p w:rsidR="002D5C04" w:rsidRDefault="002D5C04" w:rsidP="0047417F">
      <w:pPr>
        <w:pStyle w:val="Paragraphedeliste"/>
        <w:numPr>
          <w:ilvl w:val="0"/>
          <w:numId w:val="3"/>
        </w:numPr>
        <w:jc w:val="both"/>
      </w:pPr>
      <w:r>
        <w:t>Lorsqu’une candidature a été transmise par voie électronique n'ont pas pu êt</w:t>
      </w:r>
      <w:r w:rsidR="0047417F">
        <w:t>re ouvertes par le CHU de Rouen Normandie</w:t>
      </w:r>
      <w:r>
        <w:t>, sous réserve que la copie lui soit parvenue dans les délais de dépôt des candidatures.</w:t>
      </w:r>
    </w:p>
    <w:p w:rsidR="002D5C04" w:rsidRDefault="002D5C04" w:rsidP="0047417F">
      <w:pPr>
        <w:jc w:val="both"/>
      </w:pPr>
      <w:r>
        <w:t xml:space="preserve">Si le pli contenant la copie de sauvegarde n'est pas ouvert, il </w:t>
      </w:r>
      <w:r w:rsidR="0047417F">
        <w:t>est détruit par le CHU de Rouen Normandie</w:t>
      </w:r>
      <w:r>
        <w:t>.</w:t>
      </w:r>
    </w:p>
    <w:p w:rsidR="0047417F" w:rsidRPr="0047417F" w:rsidRDefault="002D5C04" w:rsidP="0047417F">
      <w:pPr>
        <w:jc w:val="both"/>
        <w:rPr>
          <w:b/>
        </w:rPr>
      </w:pPr>
      <w:r w:rsidRPr="0047417F">
        <w:rPr>
          <w:b/>
        </w:rPr>
        <w:t xml:space="preserve">Coffre électronique : </w:t>
      </w:r>
    </w:p>
    <w:p w:rsidR="0047417F" w:rsidRDefault="002D5C04" w:rsidP="0047417F">
      <w:pPr>
        <w:jc w:val="both"/>
      </w:pPr>
      <w:r>
        <w:t xml:space="preserve">Afin de réduire les délais de notification des marchés spécifiques, les opérateurs économiques sont invités à utiliser l’espace de stockage numérique disponible sur le profil acheteur </w:t>
      </w:r>
      <w:hyperlink r:id="rId14" w:history="1">
        <w:r w:rsidR="0047417F" w:rsidRPr="00E7614B">
          <w:rPr>
            <w:rStyle w:val="Lienhypertexte"/>
          </w:rPr>
          <w:t>https://www.marches-publics.gouv.fr</w:t>
        </w:r>
      </w:hyperlink>
      <w:r w:rsidR="0047417F">
        <w:t xml:space="preserve"> </w:t>
      </w:r>
      <w:r>
        <w:t xml:space="preserve">afin d’y déposer et mettre régulièrement à jour les pièces justifiant qu’ils ne se trouvent pas dans un cas d’interdiction de soumissionner prévu à l’article R.2143-6 à R.2143-10 du Code de la commande publique directement sur PLACE. S’il utilise cet outil, le candidat devra l’indiquer explicitement dans son dossier. Les pièces concernées sont les suivantes : </w:t>
      </w:r>
    </w:p>
    <w:p w:rsidR="0047417F" w:rsidRDefault="002D5C04" w:rsidP="0047417F">
      <w:pPr>
        <w:pStyle w:val="Paragraphedeliste"/>
        <w:numPr>
          <w:ilvl w:val="0"/>
          <w:numId w:val="3"/>
        </w:numPr>
        <w:jc w:val="both"/>
      </w:pPr>
      <w:r>
        <w:t xml:space="preserve">Un extrait KBIS de moins de 3 mois </w:t>
      </w:r>
    </w:p>
    <w:p w:rsidR="0047417F" w:rsidRDefault="002D5C04" w:rsidP="0047417F">
      <w:pPr>
        <w:pStyle w:val="Paragraphedeliste"/>
        <w:numPr>
          <w:ilvl w:val="0"/>
          <w:numId w:val="3"/>
        </w:numPr>
        <w:jc w:val="both"/>
      </w:pPr>
      <w:r>
        <w:t xml:space="preserve">Une attestation de vigilance URSSAF de moins de six mois « Attestation de fourniture des déclarations sociales et paiement des cotisations et contributions sociales » des candidats </w:t>
      </w:r>
    </w:p>
    <w:p w:rsidR="0047417F" w:rsidRDefault="002D5C04" w:rsidP="0047417F">
      <w:pPr>
        <w:pStyle w:val="Paragraphedeliste"/>
        <w:numPr>
          <w:ilvl w:val="0"/>
          <w:numId w:val="3"/>
        </w:numPr>
        <w:jc w:val="both"/>
      </w:pPr>
      <w:r>
        <w:t>Une attestation de régularité fiscale du mois m-1 précédant la demande desdites pièces</w:t>
      </w:r>
    </w:p>
    <w:p w:rsidR="0047417F" w:rsidRDefault="0047417F" w:rsidP="0047417F">
      <w:pPr>
        <w:jc w:val="both"/>
      </w:pPr>
    </w:p>
    <w:p w:rsidR="002D5C04" w:rsidRDefault="002D5C04" w:rsidP="0047417F">
      <w:pPr>
        <w:pStyle w:val="Titre1"/>
      </w:pPr>
      <w:bookmarkStart w:id="19" w:name="_Toc90540084"/>
      <w:r>
        <w:t>ARTICLE V- SELECTION DES CANDIDATS</w:t>
      </w:r>
      <w:bookmarkEnd w:id="19"/>
    </w:p>
    <w:p w:rsidR="0047417F" w:rsidRPr="0047417F" w:rsidRDefault="0047417F" w:rsidP="0047417F"/>
    <w:p w:rsidR="002D5C04" w:rsidRDefault="002D5C04" w:rsidP="0047417F">
      <w:pPr>
        <w:pStyle w:val="Titre2"/>
      </w:pPr>
      <w:bookmarkStart w:id="20" w:name="_Toc90540085"/>
      <w:r>
        <w:t>V.1 Critères de sélection des candidatures</w:t>
      </w:r>
      <w:bookmarkEnd w:id="20"/>
    </w:p>
    <w:p w:rsidR="002D5C04" w:rsidRDefault="002D5C04" w:rsidP="0047417F">
      <w:pPr>
        <w:jc w:val="both"/>
      </w:pPr>
      <w:r>
        <w:t>Lorsque des pièces dont la production était demandée sont absentes ou incomplètes, il peut être demandé à tous les candidats concernés de compléter leur dossier de candidature conformément à R.2144-2 Code de la commande publique.</w:t>
      </w:r>
    </w:p>
    <w:p w:rsidR="002D5C04" w:rsidRDefault="002D5C04" w:rsidP="0047417F">
      <w:pPr>
        <w:jc w:val="both"/>
      </w:pPr>
      <w:r>
        <w:t xml:space="preserve">Le </w:t>
      </w:r>
      <w:r w:rsidR="00B5670B">
        <w:t xml:space="preserve">CHU de Rouen </w:t>
      </w:r>
      <w:r>
        <w:t>ou son représentant élimine les candidatures qui ne peuvent être admises. Les candidatures sont examinées au regard des niveaux de capacités professionnelles, techniques et financières.</w:t>
      </w:r>
    </w:p>
    <w:p w:rsidR="002D5C04" w:rsidRDefault="002D5C04" w:rsidP="0047417F">
      <w:pPr>
        <w:jc w:val="both"/>
      </w:pPr>
      <w:r>
        <w:t>En particulier, les critères d’exclusion suivants seront appliqués :</w:t>
      </w:r>
    </w:p>
    <w:p w:rsidR="002D5C04" w:rsidRDefault="002D5C04" w:rsidP="0047417F">
      <w:pPr>
        <w:jc w:val="both"/>
      </w:pPr>
      <w:r>
        <w:t>- Exclusion des candidatures dont les capacités professionnelles et techniques sont insuffisantes au regard de l’objet de la catégorie visé</w:t>
      </w:r>
      <w:r w:rsidR="00DD7226">
        <w:t xml:space="preserve"> : Absence ou insuffisance de la liste des principales livraisons effectuées au cours des 3 dernières années en rapport avec les catégories du SAD, indiquant le destinataire privé ou public (indiquer les noms et coordonnées téléphoniques des personnes à </w:t>
      </w:r>
      <w:r w:rsidR="00DD7226">
        <w:lastRenderedPageBreak/>
        <w:t>contacter éventuellement); Les livraisons sont prouvées par des attestations du destinataire ou, à défaut, par une déclaration de l'opérateur économique ;</w:t>
      </w:r>
    </w:p>
    <w:p w:rsidR="002D5C04" w:rsidRDefault="002D5C04" w:rsidP="0047417F">
      <w:pPr>
        <w:jc w:val="both"/>
      </w:pPr>
      <w:r>
        <w:t>- Exclusion des candidats qui, au cours des 3 dernières années précédant l’analyse, ont dû verser des dommages et intérêts, ont été sanctionnés par une résiliation ou ont fait l’objet d’une sanction comparable du fait d’un manquement grave ou persistant à leurs obligations contractuelles lors de l’exécution d’un contrat de la commande publique antérieur.</w:t>
      </w:r>
    </w:p>
    <w:p w:rsidR="002D5C04" w:rsidRDefault="002D5C04" w:rsidP="0047417F">
      <w:pPr>
        <w:pStyle w:val="Titre2"/>
      </w:pPr>
      <w:bookmarkStart w:id="21" w:name="_Toc90540086"/>
      <w:r>
        <w:t>V. 2 Admission des candidatures</w:t>
      </w:r>
      <w:bookmarkEnd w:id="21"/>
    </w:p>
    <w:p w:rsidR="002D5C04" w:rsidRDefault="002D5C04" w:rsidP="0047417F">
      <w:pPr>
        <w:jc w:val="both"/>
      </w:pPr>
      <w:r>
        <w:t>Le candidat satisfaisant aux critères de sélection est admis au sein du système d’acquisition dynamique. Un message transmis par le profil d’acheteur l’informe de cette admission.</w:t>
      </w:r>
    </w:p>
    <w:p w:rsidR="002D5C04" w:rsidRDefault="002D5C04" w:rsidP="0047417F">
      <w:pPr>
        <w:jc w:val="both"/>
      </w:pPr>
      <w:r>
        <w:t>A compter de la réception de ce message, le candidat peut être invité à remettre une offre en réponse aux marchés spécifiques lancés.</w:t>
      </w:r>
    </w:p>
    <w:p w:rsidR="002D5C04" w:rsidRDefault="002D5C04" w:rsidP="0047417F">
      <w:pPr>
        <w:jc w:val="both"/>
      </w:pPr>
      <w:r>
        <w:t>NOTA : l’admission des candidatures se fait catégorie par catégorie. Ainsi, l’opérateur économique souhaitant participer aux mises en concurrence des Marchés spécifiques d’autres catégories que celles pour laquelle ou lesquelles il a été d’ores et déjà admis, doit au préalable déposer un nouveau dossier de candidature comprenant notamment l’annexe du présent règlement de la consultation précisant la ou les catégories complémentaires concernées.</w:t>
      </w:r>
    </w:p>
    <w:p w:rsidR="002D5C04" w:rsidRDefault="002D5C04" w:rsidP="0047417F">
      <w:pPr>
        <w:pStyle w:val="Titre2"/>
      </w:pPr>
      <w:bookmarkStart w:id="22" w:name="_Toc90540087"/>
      <w:r>
        <w:t>VI.3 Rejet des candidatures</w:t>
      </w:r>
      <w:bookmarkEnd w:id="22"/>
    </w:p>
    <w:p w:rsidR="002D5C04" w:rsidRDefault="002D5C04" w:rsidP="0047417F">
      <w:pPr>
        <w:jc w:val="both"/>
      </w:pPr>
      <w:r>
        <w:t>Le candidat ne satisfaisant pas aux critères de sélection des candidatures en est avisé par message transmis par le profil d’acheteur.</w:t>
      </w:r>
    </w:p>
    <w:p w:rsidR="002D5C04" w:rsidRDefault="002D5C04" w:rsidP="0047417F">
      <w:pPr>
        <w:pStyle w:val="Titre1"/>
      </w:pPr>
      <w:bookmarkStart w:id="23" w:name="_Toc90540088"/>
      <w:r>
        <w:t>ARTICLE VI – RENSEIGNEMENTS COMPLEMENTAIRES</w:t>
      </w:r>
      <w:bookmarkEnd w:id="23"/>
    </w:p>
    <w:p w:rsidR="002D5C04" w:rsidRDefault="002D5C04" w:rsidP="0047417F">
      <w:pPr>
        <w:jc w:val="both"/>
      </w:pPr>
      <w:r>
        <w:t xml:space="preserve">Pour obtenir tous les renseignements complémentaires qui leur seraient nécessaires au cours de leur étude du dossier de consultation, les opérateurs économiques devront faire parvenir au plus tard 10 jours calendaires avant la date estimative de remise des candidatures pour le premier marché spécifique une demande écrite via le profil acheteur du CHU de Nantes : </w:t>
      </w:r>
      <w:hyperlink r:id="rId15" w:history="1">
        <w:r w:rsidR="0047417F" w:rsidRPr="00E7614B">
          <w:rPr>
            <w:rStyle w:val="Lienhypertexte"/>
          </w:rPr>
          <w:t>https://www.marches-publics.gouv.fr</w:t>
        </w:r>
      </w:hyperlink>
      <w:r w:rsidR="0047417F">
        <w:t xml:space="preserve"> </w:t>
      </w:r>
      <w:r>
        <w:t>et au sein de l’espace dédié à la présente consultation.</w:t>
      </w:r>
    </w:p>
    <w:p w:rsidR="002D5C04" w:rsidRDefault="002D5C04" w:rsidP="0047417F">
      <w:pPr>
        <w:jc w:val="both"/>
      </w:pPr>
      <w:r>
        <w:t>Une réponse sera alors adressée, à toutes les entreprises ayant retiré le dossier de consultation et s’étant identifiées, 6 jours calendaires au plus tard avant la date estimative de remise des candidatures pour le premier marché spécifique.</w:t>
      </w:r>
    </w:p>
    <w:p w:rsidR="00D1727E" w:rsidRPr="002D5C04" w:rsidRDefault="002D5C04" w:rsidP="0047417F">
      <w:pPr>
        <w:jc w:val="both"/>
      </w:pPr>
      <w:r>
        <w:t>S’agissant de la passation des marchés spécifiques suivants, les délais de demandes de renseignements complémentaires seront adaptés et précisés dans la lettre de consultation.</w:t>
      </w:r>
    </w:p>
    <w:sectPr w:rsidR="00D1727E" w:rsidRPr="002D5C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3B5" w:rsidRDefault="008663B5" w:rsidP="00E43A2D">
      <w:pPr>
        <w:spacing w:after="0" w:line="240" w:lineRule="auto"/>
      </w:pPr>
      <w:r>
        <w:separator/>
      </w:r>
    </w:p>
  </w:endnote>
  <w:endnote w:type="continuationSeparator" w:id="0">
    <w:p w:rsidR="008663B5" w:rsidRDefault="008663B5" w:rsidP="00E4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3B5" w:rsidRDefault="008663B5" w:rsidP="00E43A2D">
      <w:pPr>
        <w:spacing w:after="0" w:line="240" w:lineRule="auto"/>
      </w:pPr>
      <w:r>
        <w:separator/>
      </w:r>
    </w:p>
  </w:footnote>
  <w:footnote w:type="continuationSeparator" w:id="0">
    <w:p w:rsidR="008663B5" w:rsidRDefault="008663B5" w:rsidP="00E43A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A5F"/>
    <w:multiLevelType w:val="hybridMultilevel"/>
    <w:tmpl w:val="77EC13AA"/>
    <w:lvl w:ilvl="0" w:tplc="1AB278D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8B5ABA"/>
    <w:multiLevelType w:val="hybridMultilevel"/>
    <w:tmpl w:val="FCA4EBBE"/>
    <w:lvl w:ilvl="0" w:tplc="1AB278D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F51EB"/>
    <w:multiLevelType w:val="hybridMultilevel"/>
    <w:tmpl w:val="F6E8ED1E"/>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029AF"/>
    <w:multiLevelType w:val="hybridMultilevel"/>
    <w:tmpl w:val="C854D936"/>
    <w:lvl w:ilvl="0" w:tplc="1AB278D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CA7FAC"/>
    <w:multiLevelType w:val="hybridMultilevel"/>
    <w:tmpl w:val="984E6396"/>
    <w:lvl w:ilvl="0" w:tplc="21AE7E2A">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59C3C40"/>
    <w:multiLevelType w:val="hybridMultilevel"/>
    <w:tmpl w:val="5D142946"/>
    <w:lvl w:ilvl="0" w:tplc="1AB278D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B8399F"/>
    <w:multiLevelType w:val="hybridMultilevel"/>
    <w:tmpl w:val="04F0DA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EC3182"/>
    <w:multiLevelType w:val="hybridMultilevel"/>
    <w:tmpl w:val="DCC286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4849F3"/>
    <w:multiLevelType w:val="hybridMultilevel"/>
    <w:tmpl w:val="730E3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4311B6"/>
    <w:multiLevelType w:val="hybridMultilevel"/>
    <w:tmpl w:val="35E02766"/>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CD1C21"/>
    <w:multiLevelType w:val="hybridMultilevel"/>
    <w:tmpl w:val="27F2D0C6"/>
    <w:lvl w:ilvl="0" w:tplc="1AB278D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FC4439"/>
    <w:multiLevelType w:val="hybridMultilevel"/>
    <w:tmpl w:val="FFE6A7C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233105"/>
    <w:multiLevelType w:val="hybridMultilevel"/>
    <w:tmpl w:val="7F3CA460"/>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4A2A40"/>
    <w:multiLevelType w:val="hybridMultilevel"/>
    <w:tmpl w:val="FACAABF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8"/>
  </w:num>
  <w:num w:numId="2">
    <w:abstractNumId w:val="10"/>
  </w:num>
  <w:num w:numId="3">
    <w:abstractNumId w:val="1"/>
  </w:num>
  <w:num w:numId="4">
    <w:abstractNumId w:val="0"/>
  </w:num>
  <w:num w:numId="5">
    <w:abstractNumId w:val="2"/>
  </w:num>
  <w:num w:numId="6">
    <w:abstractNumId w:val="3"/>
  </w:num>
  <w:num w:numId="7">
    <w:abstractNumId w:val="7"/>
  </w:num>
  <w:num w:numId="8">
    <w:abstractNumId w:val="12"/>
  </w:num>
  <w:num w:numId="9">
    <w:abstractNumId w:val="6"/>
  </w:num>
  <w:num w:numId="10">
    <w:abstractNumId w:val="13"/>
  </w:num>
  <w:num w:numId="11">
    <w:abstractNumId w:val="11"/>
  </w:num>
  <w:num w:numId="12">
    <w:abstractNumId w:val="9"/>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C04"/>
    <w:rsid w:val="00215E01"/>
    <w:rsid w:val="002D5C04"/>
    <w:rsid w:val="003E1309"/>
    <w:rsid w:val="0047417F"/>
    <w:rsid w:val="00477032"/>
    <w:rsid w:val="005047A9"/>
    <w:rsid w:val="00536995"/>
    <w:rsid w:val="005B2A45"/>
    <w:rsid w:val="006B6518"/>
    <w:rsid w:val="007107ED"/>
    <w:rsid w:val="008663B5"/>
    <w:rsid w:val="008A7D5B"/>
    <w:rsid w:val="00997ED7"/>
    <w:rsid w:val="00A1107A"/>
    <w:rsid w:val="00B5670B"/>
    <w:rsid w:val="00CC4D1D"/>
    <w:rsid w:val="00CF4986"/>
    <w:rsid w:val="00D1727E"/>
    <w:rsid w:val="00D374E5"/>
    <w:rsid w:val="00DD7226"/>
    <w:rsid w:val="00E43A2D"/>
    <w:rsid w:val="00EB21F4"/>
    <w:rsid w:val="00FC49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5:docId w15:val="{FED4298F-659F-47C4-874F-D3ED0BE2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374E5"/>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Titre2">
    <w:name w:val="heading 2"/>
    <w:basedOn w:val="Normal"/>
    <w:next w:val="Normal"/>
    <w:link w:val="Titre2Car"/>
    <w:uiPriority w:val="9"/>
    <w:unhideWhenUsed/>
    <w:qFormat/>
    <w:rsid w:val="00D374E5"/>
    <w:pPr>
      <w:keepNext/>
      <w:keepLines/>
      <w:spacing w:before="40" w:after="0"/>
      <w:ind w:left="708"/>
      <w:outlineLvl w:val="1"/>
    </w:pPr>
    <w:rPr>
      <w:rFonts w:asciiTheme="majorHAnsi" w:eastAsiaTheme="majorEastAsia" w:hAnsiTheme="majorHAnsi" w:cstheme="majorBidi"/>
      <w:b/>
      <w:color w:val="000000" w:themeColor="text1"/>
      <w:sz w:val="24"/>
      <w:szCs w:val="26"/>
    </w:rPr>
  </w:style>
  <w:style w:type="paragraph" w:styleId="Titre3">
    <w:name w:val="heading 3"/>
    <w:basedOn w:val="Normal"/>
    <w:next w:val="Normal"/>
    <w:link w:val="Titre3Car"/>
    <w:uiPriority w:val="9"/>
    <w:unhideWhenUsed/>
    <w:qFormat/>
    <w:rsid w:val="00D374E5"/>
    <w:pPr>
      <w:keepNext/>
      <w:keepLines/>
      <w:spacing w:before="40" w:after="0"/>
      <w:ind w:left="1416"/>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A2D"/>
    <w:pPr>
      <w:tabs>
        <w:tab w:val="center" w:pos="4536"/>
        <w:tab w:val="right" w:pos="9072"/>
      </w:tabs>
      <w:spacing w:after="0" w:line="240" w:lineRule="auto"/>
    </w:pPr>
  </w:style>
  <w:style w:type="character" w:customStyle="1" w:styleId="En-tteCar">
    <w:name w:val="En-tête Car"/>
    <w:basedOn w:val="Policepardfaut"/>
    <w:link w:val="En-tte"/>
    <w:uiPriority w:val="99"/>
    <w:rsid w:val="00E43A2D"/>
  </w:style>
  <w:style w:type="paragraph" w:styleId="Pieddepage">
    <w:name w:val="footer"/>
    <w:basedOn w:val="Normal"/>
    <w:link w:val="PieddepageCar"/>
    <w:uiPriority w:val="99"/>
    <w:unhideWhenUsed/>
    <w:rsid w:val="00E43A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A2D"/>
  </w:style>
  <w:style w:type="character" w:customStyle="1" w:styleId="Titre1Car">
    <w:name w:val="Titre 1 Car"/>
    <w:basedOn w:val="Policepardfaut"/>
    <w:link w:val="Titre1"/>
    <w:uiPriority w:val="9"/>
    <w:rsid w:val="00D374E5"/>
    <w:rPr>
      <w:rFonts w:asciiTheme="majorHAnsi" w:eastAsiaTheme="majorEastAsia" w:hAnsiTheme="majorHAnsi" w:cstheme="majorBidi"/>
      <w:b/>
      <w:color w:val="000000" w:themeColor="text1"/>
      <w:sz w:val="28"/>
      <w:szCs w:val="32"/>
    </w:rPr>
  </w:style>
  <w:style w:type="character" w:styleId="Lienhypertexte">
    <w:name w:val="Hyperlink"/>
    <w:basedOn w:val="Policepardfaut"/>
    <w:uiPriority w:val="99"/>
    <w:unhideWhenUsed/>
    <w:rsid w:val="00D374E5"/>
    <w:rPr>
      <w:color w:val="0563C1" w:themeColor="hyperlink"/>
      <w:u w:val="single"/>
    </w:rPr>
  </w:style>
  <w:style w:type="paragraph" w:styleId="Sous-titre">
    <w:name w:val="Subtitle"/>
    <w:basedOn w:val="Normal"/>
    <w:next w:val="Normal"/>
    <w:link w:val="Sous-titreCar"/>
    <w:uiPriority w:val="11"/>
    <w:qFormat/>
    <w:rsid w:val="00D374E5"/>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D374E5"/>
    <w:rPr>
      <w:rFonts w:eastAsiaTheme="minorEastAsia"/>
      <w:b/>
      <w:color w:val="5A5A5A" w:themeColor="text1" w:themeTint="A5"/>
      <w:spacing w:val="15"/>
      <w:sz w:val="24"/>
    </w:rPr>
  </w:style>
  <w:style w:type="character" w:customStyle="1" w:styleId="Titre2Car">
    <w:name w:val="Titre 2 Car"/>
    <w:basedOn w:val="Policepardfaut"/>
    <w:link w:val="Titre2"/>
    <w:uiPriority w:val="9"/>
    <w:rsid w:val="00D374E5"/>
    <w:rPr>
      <w:rFonts w:asciiTheme="majorHAnsi" w:eastAsiaTheme="majorEastAsia" w:hAnsiTheme="majorHAnsi" w:cstheme="majorBidi"/>
      <w:b/>
      <w:color w:val="000000" w:themeColor="text1"/>
      <w:sz w:val="24"/>
      <w:szCs w:val="26"/>
    </w:rPr>
  </w:style>
  <w:style w:type="character" w:customStyle="1" w:styleId="Titre3Car">
    <w:name w:val="Titre 3 Car"/>
    <w:basedOn w:val="Policepardfaut"/>
    <w:link w:val="Titre3"/>
    <w:uiPriority w:val="9"/>
    <w:rsid w:val="00D374E5"/>
    <w:rPr>
      <w:rFonts w:asciiTheme="majorHAnsi" w:eastAsiaTheme="majorEastAsia" w:hAnsiTheme="majorHAnsi" w:cstheme="majorBidi"/>
      <w:b/>
      <w:color w:val="000000" w:themeColor="text1"/>
      <w:szCs w:val="24"/>
    </w:rPr>
  </w:style>
  <w:style w:type="paragraph" w:styleId="Paragraphedeliste">
    <w:name w:val="List Paragraph"/>
    <w:basedOn w:val="Normal"/>
    <w:uiPriority w:val="34"/>
    <w:qFormat/>
    <w:rsid w:val="005B2A45"/>
    <w:pPr>
      <w:ind w:left="720"/>
      <w:contextualSpacing/>
    </w:pPr>
  </w:style>
  <w:style w:type="character" w:styleId="Marquedecommentaire">
    <w:name w:val="annotation reference"/>
    <w:basedOn w:val="Policepardfaut"/>
    <w:uiPriority w:val="99"/>
    <w:semiHidden/>
    <w:unhideWhenUsed/>
    <w:rsid w:val="005B2A45"/>
    <w:rPr>
      <w:sz w:val="16"/>
      <w:szCs w:val="16"/>
    </w:rPr>
  </w:style>
  <w:style w:type="paragraph" w:styleId="Commentaire">
    <w:name w:val="annotation text"/>
    <w:basedOn w:val="Normal"/>
    <w:link w:val="CommentaireCar"/>
    <w:uiPriority w:val="99"/>
    <w:semiHidden/>
    <w:unhideWhenUsed/>
    <w:rsid w:val="005B2A45"/>
    <w:pPr>
      <w:spacing w:line="240" w:lineRule="auto"/>
    </w:pPr>
    <w:rPr>
      <w:sz w:val="20"/>
      <w:szCs w:val="20"/>
    </w:rPr>
  </w:style>
  <w:style w:type="character" w:customStyle="1" w:styleId="CommentaireCar">
    <w:name w:val="Commentaire Car"/>
    <w:basedOn w:val="Policepardfaut"/>
    <w:link w:val="Commentaire"/>
    <w:uiPriority w:val="99"/>
    <w:semiHidden/>
    <w:rsid w:val="005B2A45"/>
    <w:rPr>
      <w:sz w:val="20"/>
      <w:szCs w:val="20"/>
    </w:rPr>
  </w:style>
  <w:style w:type="paragraph" w:styleId="Objetducommentaire">
    <w:name w:val="annotation subject"/>
    <w:basedOn w:val="Commentaire"/>
    <w:next w:val="Commentaire"/>
    <w:link w:val="ObjetducommentaireCar"/>
    <w:uiPriority w:val="99"/>
    <w:semiHidden/>
    <w:unhideWhenUsed/>
    <w:rsid w:val="005B2A45"/>
    <w:rPr>
      <w:b/>
      <w:bCs/>
    </w:rPr>
  </w:style>
  <w:style w:type="character" w:customStyle="1" w:styleId="ObjetducommentaireCar">
    <w:name w:val="Objet du commentaire Car"/>
    <w:basedOn w:val="CommentaireCar"/>
    <w:link w:val="Objetducommentaire"/>
    <w:uiPriority w:val="99"/>
    <w:semiHidden/>
    <w:rsid w:val="005B2A45"/>
    <w:rPr>
      <w:b/>
      <w:bCs/>
      <w:sz w:val="20"/>
      <w:szCs w:val="20"/>
    </w:rPr>
  </w:style>
  <w:style w:type="paragraph" w:styleId="Textedebulles">
    <w:name w:val="Balloon Text"/>
    <w:basedOn w:val="Normal"/>
    <w:link w:val="TextedebullesCar"/>
    <w:uiPriority w:val="99"/>
    <w:semiHidden/>
    <w:unhideWhenUsed/>
    <w:rsid w:val="005B2A4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2A45"/>
    <w:rPr>
      <w:rFonts w:ascii="Segoe UI" w:hAnsi="Segoe UI" w:cs="Segoe UI"/>
      <w:sz w:val="18"/>
      <w:szCs w:val="18"/>
    </w:rPr>
  </w:style>
  <w:style w:type="paragraph" w:styleId="En-ttedetabledesmatires">
    <w:name w:val="TOC Heading"/>
    <w:basedOn w:val="Titre1"/>
    <w:next w:val="Normal"/>
    <w:uiPriority w:val="39"/>
    <w:unhideWhenUsed/>
    <w:qFormat/>
    <w:rsid w:val="006B6518"/>
    <w:pPr>
      <w:outlineLvl w:val="9"/>
    </w:pPr>
    <w:rPr>
      <w:b w:val="0"/>
      <w:color w:val="2E74B5" w:themeColor="accent1" w:themeShade="BF"/>
      <w:sz w:val="32"/>
      <w:lang w:eastAsia="fr-FR"/>
    </w:rPr>
  </w:style>
  <w:style w:type="paragraph" w:styleId="TM2">
    <w:name w:val="toc 2"/>
    <w:basedOn w:val="Normal"/>
    <w:next w:val="Normal"/>
    <w:autoRedefine/>
    <w:uiPriority w:val="39"/>
    <w:unhideWhenUsed/>
    <w:rsid w:val="006B6518"/>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6B6518"/>
    <w:pPr>
      <w:spacing w:after="100"/>
    </w:pPr>
    <w:rPr>
      <w:rFonts w:eastAsiaTheme="minorEastAsia" w:cs="Times New Roman"/>
      <w:lang w:eastAsia="fr-FR"/>
    </w:rPr>
  </w:style>
  <w:style w:type="paragraph" w:styleId="TM3">
    <w:name w:val="toc 3"/>
    <w:basedOn w:val="Normal"/>
    <w:next w:val="Normal"/>
    <w:autoRedefine/>
    <w:uiPriority w:val="39"/>
    <w:unhideWhenUsed/>
    <w:rsid w:val="006B6518"/>
    <w:pPr>
      <w:spacing w:after="100"/>
      <w:ind w:left="440"/>
    </w:pPr>
    <w:rPr>
      <w:rFonts w:eastAsiaTheme="minorEastAs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page=entreprise.EntrepriseGuide&amp;Ai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https://www.chu-rouen.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0B0DC-3D73-460A-A060-37BF0A44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10</Pages>
  <Words>3465</Words>
  <Characters>19060</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22481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Sarah</dc:creator>
  <cp:keywords/>
  <dc:description/>
  <cp:lastModifiedBy>DESJARDINS, Sarah</cp:lastModifiedBy>
  <cp:revision>7</cp:revision>
  <dcterms:created xsi:type="dcterms:W3CDTF">2021-12-17T11:31:00Z</dcterms:created>
  <dcterms:modified xsi:type="dcterms:W3CDTF">2021-12-24T09:39:00Z</dcterms:modified>
</cp:coreProperties>
</file>